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5C5C" w14:textId="79D4C438" w:rsidR="00604A76" w:rsidRPr="00285CD8" w:rsidRDefault="00285CD8" w:rsidP="00604A76">
      <w:pPr>
        <w:tabs>
          <w:tab w:val="right" w:pos="9072"/>
        </w:tabs>
      </w:pPr>
      <w:r w:rsidRPr="00285CD8">
        <w:rPr>
          <w:b/>
          <w:bCs/>
          <w:highlight w:val="yellow"/>
        </w:rPr>
        <w:t>[NAZWA ORGANIZACJI / JEDNOSTKI]</w:t>
      </w:r>
      <w:r w:rsidR="00604A76" w:rsidRPr="00604A76">
        <w:rPr>
          <w:b/>
          <w:bCs/>
        </w:rPr>
        <w:t xml:space="preserve"> </w:t>
      </w:r>
      <w:r w:rsidR="00604A76">
        <w:rPr>
          <w:b/>
          <w:bCs/>
        </w:rPr>
        <w:tab/>
      </w:r>
      <w:r w:rsidR="00604A76" w:rsidRPr="00285CD8">
        <w:rPr>
          <w:i/>
          <w:iCs/>
          <w:highlight w:val="yellow"/>
        </w:rPr>
        <w:t>[Miejscowość], [data]</w:t>
      </w:r>
    </w:p>
    <w:p w14:paraId="6D939475" w14:textId="45E6B5B6" w:rsidR="00285CD8" w:rsidRPr="00D34EFF" w:rsidRDefault="00285CD8" w:rsidP="00604A76">
      <w:pPr>
        <w:tabs>
          <w:tab w:val="right" w:pos="9072"/>
        </w:tabs>
      </w:pPr>
      <w:r w:rsidRPr="00285CD8">
        <w:rPr>
          <w:highlight w:val="yellow"/>
        </w:rPr>
        <w:t>[Adres]</w:t>
      </w:r>
    </w:p>
    <w:p w14:paraId="3D4D2E3F" w14:textId="77777777" w:rsidR="00604A76" w:rsidRPr="00285CD8" w:rsidRDefault="00604A76" w:rsidP="00604A76">
      <w:pPr>
        <w:tabs>
          <w:tab w:val="right" w:pos="9072"/>
        </w:tabs>
      </w:pPr>
    </w:p>
    <w:p w14:paraId="042E5A8A" w14:textId="364E4D2C" w:rsidR="00285CD8" w:rsidRPr="00285CD8" w:rsidRDefault="00373E59" w:rsidP="00604A76">
      <w:pPr>
        <w:ind w:left="4820"/>
      </w:pPr>
      <w:r w:rsidRPr="00373E59">
        <w:rPr>
          <w:sz w:val="28"/>
          <w:szCs w:val="28"/>
        </w:rPr>
        <w:t>Pani</w:t>
      </w:r>
      <w:r>
        <w:rPr>
          <w:b/>
          <w:bCs/>
          <w:sz w:val="28"/>
          <w:szCs w:val="28"/>
        </w:rPr>
        <w:br/>
      </w:r>
      <w:r w:rsidR="00285CD8" w:rsidRPr="00285CD8">
        <w:rPr>
          <w:b/>
          <w:bCs/>
          <w:sz w:val="28"/>
          <w:szCs w:val="28"/>
        </w:rPr>
        <w:t>Katarzyna Pełczyńska-Nałęcz</w:t>
      </w:r>
      <w:r w:rsidR="00285CD8" w:rsidRPr="00285CD8">
        <w:rPr>
          <w:sz w:val="28"/>
          <w:szCs w:val="28"/>
        </w:rPr>
        <w:br/>
      </w:r>
      <w:r w:rsidR="00285CD8" w:rsidRPr="00285CD8">
        <w:t>Minister Funduszy i Polityki Regionalnej</w:t>
      </w:r>
      <w:r w:rsidR="00285CD8" w:rsidRPr="00285CD8">
        <w:br/>
        <w:t>Rzeczpospolita Polska</w:t>
      </w:r>
    </w:p>
    <w:p w14:paraId="2DCA2865" w14:textId="77777777" w:rsidR="00604A76" w:rsidRDefault="00604A76" w:rsidP="00285CD8">
      <w:pPr>
        <w:rPr>
          <w:b/>
          <w:bCs/>
        </w:rPr>
      </w:pPr>
    </w:p>
    <w:p w14:paraId="65931A5D" w14:textId="77777777" w:rsidR="006066E8" w:rsidRDefault="006066E8" w:rsidP="00285CD8">
      <w:pPr>
        <w:rPr>
          <w:b/>
          <w:bCs/>
        </w:rPr>
      </w:pPr>
    </w:p>
    <w:p w14:paraId="01541B8E" w14:textId="79D17B96" w:rsidR="00285CD8" w:rsidRPr="00285CD8" w:rsidRDefault="00285CD8" w:rsidP="00DA6589">
      <w:pPr>
        <w:jc w:val="center"/>
        <w:rPr>
          <w:b/>
          <w:bCs/>
          <w:sz w:val="36"/>
          <w:szCs w:val="36"/>
        </w:rPr>
      </w:pPr>
      <w:r w:rsidRPr="00285CD8">
        <w:rPr>
          <w:b/>
          <w:bCs/>
          <w:sz w:val="36"/>
          <w:szCs w:val="36"/>
        </w:rPr>
        <w:t>STANOWISKO</w:t>
      </w:r>
    </w:p>
    <w:p w14:paraId="12B1CBA3" w14:textId="39993ED5" w:rsidR="00285CD8" w:rsidRDefault="00285CD8" w:rsidP="006066E8">
      <w:pPr>
        <w:jc w:val="both"/>
        <w:rPr>
          <w:b/>
          <w:bCs/>
        </w:rPr>
      </w:pPr>
      <w:r w:rsidRPr="00285CD8">
        <w:rPr>
          <w:b/>
          <w:bCs/>
        </w:rPr>
        <w:t xml:space="preserve">w sprawie podwyższenia maksymalnej intensywności pomocy regionalnej dla wschodnich regionów przygranicznych oraz </w:t>
      </w:r>
      <w:r w:rsidR="00B83E88" w:rsidRPr="00B83E88">
        <w:rPr>
          <w:b/>
          <w:bCs/>
        </w:rPr>
        <w:t>przywrócenie prostych projektów o</w:t>
      </w:r>
      <w:r w:rsidR="00B83E88">
        <w:rPr>
          <w:b/>
          <w:bCs/>
        </w:rPr>
        <w:t> </w:t>
      </w:r>
      <w:r w:rsidR="00B83E88" w:rsidRPr="00B83E88">
        <w:rPr>
          <w:b/>
          <w:bCs/>
        </w:rPr>
        <w:t>charakterze inwestycyjnym</w:t>
      </w:r>
    </w:p>
    <w:p w14:paraId="4CF0E91A" w14:textId="77777777" w:rsidR="00604A76" w:rsidRPr="00285CD8" w:rsidRDefault="00604A76" w:rsidP="006066E8">
      <w:pPr>
        <w:jc w:val="both"/>
      </w:pPr>
    </w:p>
    <w:p w14:paraId="49DDF6C5" w14:textId="214F620F" w:rsidR="00285CD8" w:rsidRPr="00285CD8" w:rsidRDefault="00285CD8" w:rsidP="006066E8">
      <w:pPr>
        <w:jc w:val="both"/>
        <w:rPr>
          <w:i/>
          <w:iCs/>
        </w:rPr>
      </w:pPr>
      <w:r w:rsidRPr="00285CD8">
        <w:rPr>
          <w:i/>
          <w:iCs/>
        </w:rPr>
        <w:t>Szanown</w:t>
      </w:r>
      <w:r w:rsidR="00816D38">
        <w:rPr>
          <w:i/>
          <w:iCs/>
        </w:rPr>
        <w:t>a</w:t>
      </w:r>
      <w:r w:rsidRPr="00285CD8">
        <w:rPr>
          <w:i/>
          <w:iCs/>
        </w:rPr>
        <w:t xml:space="preserve"> Pa</w:t>
      </w:r>
      <w:r w:rsidR="00816D38">
        <w:rPr>
          <w:i/>
          <w:iCs/>
        </w:rPr>
        <w:t>ni Minister</w:t>
      </w:r>
      <w:r w:rsidRPr="00285CD8">
        <w:rPr>
          <w:i/>
          <w:iCs/>
        </w:rPr>
        <w:t>,</w:t>
      </w:r>
    </w:p>
    <w:p w14:paraId="6350BEA4" w14:textId="333377DC" w:rsidR="00285CD8" w:rsidRDefault="00285CD8" w:rsidP="006066E8">
      <w:pPr>
        <w:jc w:val="both"/>
      </w:pPr>
      <w:r w:rsidRPr="00285CD8">
        <w:t xml:space="preserve">działając w imieniu </w:t>
      </w:r>
      <w:r w:rsidRPr="00285CD8">
        <w:rPr>
          <w:b/>
          <w:bCs/>
          <w:highlight w:val="yellow"/>
        </w:rPr>
        <w:t>[nazwa organizacji]</w:t>
      </w:r>
      <w:r w:rsidRPr="00285CD8">
        <w:t>, reprezentującej</w:t>
      </w:r>
      <w:r w:rsidRPr="00285CD8">
        <w:rPr>
          <w:b/>
          <w:bCs/>
        </w:rPr>
        <w:t xml:space="preserve"> </w:t>
      </w:r>
      <w:r w:rsidR="006066E8" w:rsidRPr="008719E5">
        <w:rPr>
          <w:highlight w:val="yellow"/>
        </w:rPr>
        <w:t>[</w:t>
      </w:r>
      <w:r w:rsidRPr="00285CD8">
        <w:rPr>
          <w:highlight w:val="yellow"/>
        </w:rPr>
        <w:t>przedsiębiorców/</w:t>
      </w:r>
      <w:r w:rsidR="006066E8" w:rsidRPr="008719E5">
        <w:rPr>
          <w:highlight w:val="yellow"/>
        </w:rPr>
        <w:t xml:space="preserve"> </w:t>
      </w:r>
      <w:r w:rsidRPr="00285CD8">
        <w:rPr>
          <w:highlight w:val="yellow"/>
        </w:rPr>
        <w:t>rolników/</w:t>
      </w:r>
      <w:r w:rsidR="006066E8" w:rsidRPr="008719E5">
        <w:rPr>
          <w:highlight w:val="yellow"/>
        </w:rPr>
        <w:t xml:space="preserve"> </w:t>
      </w:r>
      <w:r w:rsidRPr="00285CD8">
        <w:rPr>
          <w:highlight w:val="yellow"/>
        </w:rPr>
        <w:t>producentów/</w:t>
      </w:r>
      <w:r w:rsidR="006066E8" w:rsidRPr="008719E5">
        <w:rPr>
          <w:highlight w:val="yellow"/>
        </w:rPr>
        <w:t xml:space="preserve"> </w:t>
      </w:r>
      <w:r w:rsidRPr="00285CD8">
        <w:rPr>
          <w:highlight w:val="yellow"/>
        </w:rPr>
        <w:t>samorządy</w:t>
      </w:r>
      <w:r w:rsidR="006066E8" w:rsidRPr="008719E5">
        <w:rPr>
          <w:highlight w:val="yellow"/>
        </w:rPr>
        <w:t>*</w:t>
      </w:r>
      <w:r w:rsidRPr="00285CD8">
        <w:rPr>
          <w:highlight w:val="yellow"/>
        </w:rPr>
        <w:t>]</w:t>
      </w:r>
      <w:r w:rsidRPr="00285CD8">
        <w:t xml:space="preserve">, zwracamy się z apelem o podjęcie </w:t>
      </w:r>
      <w:r w:rsidRPr="00315004">
        <w:rPr>
          <w:b/>
          <w:bCs/>
        </w:rPr>
        <w:t>pilnych</w:t>
      </w:r>
      <w:r w:rsidRPr="00285CD8">
        <w:t xml:space="preserve"> </w:t>
      </w:r>
      <w:r w:rsidRPr="00A31333">
        <w:rPr>
          <w:b/>
          <w:bCs/>
        </w:rPr>
        <w:t>działań</w:t>
      </w:r>
      <w:r w:rsidRPr="00285CD8">
        <w:t xml:space="preserve"> </w:t>
      </w:r>
      <w:r w:rsidRPr="00A31333">
        <w:rPr>
          <w:b/>
          <w:bCs/>
        </w:rPr>
        <w:t>wzmacniających</w:t>
      </w:r>
      <w:r w:rsidRPr="00285CD8">
        <w:t xml:space="preserve"> </w:t>
      </w:r>
      <w:r w:rsidRPr="00285CD8">
        <w:rPr>
          <w:b/>
          <w:bCs/>
        </w:rPr>
        <w:t>pomoc regionalną oraz realne instrumenty inwestycyjne</w:t>
      </w:r>
      <w:r w:rsidRPr="00285CD8">
        <w:t xml:space="preserve"> dla wschodnich regionów Unii Europejskiej graniczących z Rosją, Białorusią i Ukrainą.</w:t>
      </w:r>
    </w:p>
    <w:p w14:paraId="3369411E" w14:textId="77777777" w:rsidR="006066E8" w:rsidRPr="00285CD8" w:rsidRDefault="006066E8" w:rsidP="006066E8">
      <w:pPr>
        <w:jc w:val="both"/>
      </w:pPr>
    </w:p>
    <w:p w14:paraId="2BAE7E49" w14:textId="43FCEBD2" w:rsidR="00285CD8" w:rsidRPr="00285CD8" w:rsidRDefault="00285CD8" w:rsidP="006066E8">
      <w:pPr>
        <w:jc w:val="both"/>
        <w:rPr>
          <w:b/>
          <w:bCs/>
        </w:rPr>
      </w:pPr>
      <w:r w:rsidRPr="00285CD8">
        <w:rPr>
          <w:b/>
          <w:bCs/>
        </w:rPr>
        <w:t xml:space="preserve">I. Uzasadnienie </w:t>
      </w:r>
      <w:r w:rsidR="00D34EFF">
        <w:rPr>
          <w:b/>
          <w:bCs/>
        </w:rPr>
        <w:t>–</w:t>
      </w:r>
      <w:r w:rsidRPr="00285CD8">
        <w:rPr>
          <w:b/>
          <w:bCs/>
        </w:rPr>
        <w:t xml:space="preserve"> bezpieczeństwo, demografia, gospodarka i odporność społeczna</w:t>
      </w:r>
    </w:p>
    <w:p w14:paraId="602F6ECA" w14:textId="0F6ADF2E" w:rsidR="00285CD8" w:rsidRPr="00285CD8" w:rsidRDefault="00285CD8" w:rsidP="006066E8">
      <w:pPr>
        <w:jc w:val="both"/>
      </w:pPr>
      <w:r w:rsidRPr="00285CD8">
        <w:t xml:space="preserve">Wschodnie regiony przygraniczne ponoszą </w:t>
      </w:r>
      <w:r w:rsidRPr="00285CD8">
        <w:rPr>
          <w:b/>
          <w:bCs/>
        </w:rPr>
        <w:t>koszty bezpieczeństwa całej Unii</w:t>
      </w:r>
      <w:r w:rsidRPr="00285CD8">
        <w:t>. Komunikat Komisji Europejskiej COM(2026) 82</w:t>
      </w:r>
      <w:r w:rsidR="00E94324">
        <w:t xml:space="preserve"> </w:t>
      </w:r>
      <w:proofErr w:type="spellStart"/>
      <w:r w:rsidR="00E94324">
        <w:t>final</w:t>
      </w:r>
      <w:proofErr w:type="spellEnd"/>
      <w:r w:rsidRPr="00285CD8">
        <w:t xml:space="preserve"> </w:t>
      </w:r>
      <w:r w:rsidR="00D34EFF" w:rsidRPr="00DA6589">
        <w:rPr>
          <w:i/>
          <w:iCs/>
        </w:rPr>
        <w:t>„</w:t>
      </w:r>
      <w:proofErr w:type="spellStart"/>
      <w:r w:rsidR="00D34EFF" w:rsidRPr="00DA6589">
        <w:rPr>
          <w:i/>
          <w:iCs/>
        </w:rPr>
        <w:t>Strong</w:t>
      </w:r>
      <w:proofErr w:type="spellEnd"/>
      <w:r w:rsidR="00D34EFF" w:rsidRPr="00DA6589">
        <w:rPr>
          <w:i/>
          <w:iCs/>
        </w:rPr>
        <w:t xml:space="preserve"> regions for a </w:t>
      </w:r>
      <w:proofErr w:type="spellStart"/>
      <w:r w:rsidR="00D34EFF" w:rsidRPr="00DA6589">
        <w:rPr>
          <w:i/>
          <w:iCs/>
        </w:rPr>
        <w:t>safe</w:t>
      </w:r>
      <w:proofErr w:type="spellEnd"/>
      <w:r w:rsidR="00D34EFF" w:rsidRPr="00DA6589">
        <w:rPr>
          <w:i/>
          <w:iCs/>
        </w:rPr>
        <w:t xml:space="preserve"> Europe”</w:t>
      </w:r>
      <w:r w:rsidR="00D34EFF">
        <w:t xml:space="preserve"> </w:t>
      </w:r>
      <w:r w:rsidRPr="00285CD8">
        <w:t>wskazuje, że na tych obszarach kumulują się zagrożenia o charakterze hybrydowym i</w:t>
      </w:r>
      <w:r w:rsidR="00E94324">
        <w:t> </w:t>
      </w:r>
      <w:r w:rsidRPr="00285CD8">
        <w:t xml:space="preserve">destabilizacyjnym oraz że sytuacja bezpieczeństwa wpływa bezpośrednio na warunki rozwojowe i inwestycyjne. </w:t>
      </w:r>
    </w:p>
    <w:p w14:paraId="16BA2509" w14:textId="1E28C017" w:rsidR="00285CD8" w:rsidRPr="00285CD8" w:rsidRDefault="00285CD8" w:rsidP="006066E8">
      <w:pPr>
        <w:jc w:val="both"/>
      </w:pPr>
      <w:r w:rsidRPr="00285CD8">
        <w:t xml:space="preserve">Jednocześnie dokument KE podkreśla </w:t>
      </w:r>
      <w:r w:rsidRPr="00285CD8">
        <w:rPr>
          <w:b/>
          <w:bCs/>
        </w:rPr>
        <w:t>wyjątkowo niekorzystne trendy demograficzne</w:t>
      </w:r>
      <w:r w:rsidRPr="00285CD8">
        <w:t>: część regionów utraciła ponad 17% ludności w ostatniej dekadzie, a średni spadek populacji wschodnich regionów przygranicznych w latach 2016</w:t>
      </w:r>
      <w:r w:rsidR="00D34EFF">
        <w:t>-</w:t>
      </w:r>
      <w:r w:rsidRPr="00285CD8">
        <w:t xml:space="preserve">2025 wyniósł </w:t>
      </w:r>
      <w:r w:rsidR="00E94324">
        <w:t>-</w:t>
      </w:r>
      <w:r w:rsidRPr="00285CD8">
        <w:t>2,6%, przy</w:t>
      </w:r>
      <w:r w:rsidR="004D2774">
        <w:t> </w:t>
      </w:r>
      <w:r w:rsidRPr="00285CD8">
        <w:t xml:space="preserve">wzroście populacji UE ogółem o </w:t>
      </w:r>
      <w:r w:rsidR="00E94324">
        <w:t>+</w:t>
      </w:r>
      <w:r w:rsidRPr="00285CD8">
        <w:t xml:space="preserve">1,2%. </w:t>
      </w:r>
    </w:p>
    <w:p w14:paraId="4AC27B50" w14:textId="1FC34CF3" w:rsidR="00610875" w:rsidRDefault="00610875" w:rsidP="006066E8">
      <w:pPr>
        <w:jc w:val="both"/>
      </w:pPr>
      <w:r w:rsidRPr="00610875">
        <w:t xml:space="preserve">Podwyższone ryzyko geopolityczne wzdłuż granicy zewnętrznej UE przekłada się na </w:t>
      </w:r>
      <w:r w:rsidRPr="00610875">
        <w:rPr>
          <w:b/>
          <w:bCs/>
        </w:rPr>
        <w:t>ograniczenie aktywności gospodarczej i współpracy transgranicznej oraz na wzrost ryzyk</w:t>
      </w:r>
      <w:r>
        <w:rPr>
          <w:b/>
          <w:bCs/>
        </w:rPr>
        <w:t>a</w:t>
      </w:r>
      <w:r w:rsidRPr="00610875">
        <w:rPr>
          <w:b/>
          <w:bCs/>
        </w:rPr>
        <w:t xml:space="preserve"> w finansowaniu inwestycji</w:t>
      </w:r>
      <w:r w:rsidRPr="00610875">
        <w:t xml:space="preserve">. W efekcie </w:t>
      </w:r>
      <w:r w:rsidRPr="00610875">
        <w:rPr>
          <w:b/>
          <w:bCs/>
        </w:rPr>
        <w:t>pogłębia się luka inwestycyjna i</w:t>
      </w:r>
      <w:r w:rsidR="004D2774">
        <w:rPr>
          <w:b/>
          <w:bCs/>
        </w:rPr>
        <w:t> </w:t>
      </w:r>
      <w:r w:rsidRPr="00610875">
        <w:rPr>
          <w:b/>
          <w:bCs/>
        </w:rPr>
        <w:t>narastają bariery w przyciąganiu kapitału</w:t>
      </w:r>
      <w:r w:rsidRPr="00610875">
        <w:t xml:space="preserve">, co sprzyja odpływowi kadr i osłabia lokalny </w:t>
      </w:r>
      <w:r w:rsidRPr="00610875">
        <w:lastRenderedPageBreak/>
        <w:t xml:space="preserve">rynek pracy. Długotrwale prowadzi to do obniżenia dostępności i jakości usług publicznych oraz do </w:t>
      </w:r>
      <w:r w:rsidRPr="00610875">
        <w:rPr>
          <w:b/>
          <w:bCs/>
        </w:rPr>
        <w:t>osłabienia spójności społecznej</w:t>
      </w:r>
      <w:r w:rsidRPr="00610875">
        <w:t xml:space="preserve">. W takich warunkach rośnie również podatność społeczności lokalnych na manipulację informacją, w tym dezinformację, co </w:t>
      </w:r>
      <w:r w:rsidRPr="00610875">
        <w:rPr>
          <w:b/>
          <w:bCs/>
        </w:rPr>
        <w:t>zwiększa ryzyko działań destabilizacyjnych</w:t>
      </w:r>
      <w:r w:rsidRPr="00610875">
        <w:t>.</w:t>
      </w:r>
    </w:p>
    <w:p w14:paraId="662A928E" w14:textId="68C438C3" w:rsidR="00285CD8" w:rsidRDefault="00285CD8" w:rsidP="006066E8">
      <w:pPr>
        <w:jc w:val="both"/>
      </w:pPr>
      <w:r w:rsidRPr="00285CD8">
        <w:t xml:space="preserve">W konsekwencji wsparcie rozwojowe dla tych regionów nie jest jedynie polityką wyrównywania szans – jest elementem </w:t>
      </w:r>
      <w:r w:rsidRPr="00285CD8">
        <w:rPr>
          <w:b/>
          <w:bCs/>
        </w:rPr>
        <w:t>architektury bezpieczeństwa UE</w:t>
      </w:r>
      <w:r w:rsidRPr="00285CD8">
        <w:t>, który powinien być finansowany i regulacyjnie wspierany w sposób adekwatny do skali wyzwań.</w:t>
      </w:r>
    </w:p>
    <w:p w14:paraId="5E0F3F0C" w14:textId="77777777" w:rsidR="004B6EE8" w:rsidRPr="00285CD8" w:rsidRDefault="004B6EE8" w:rsidP="006066E8">
      <w:pPr>
        <w:jc w:val="both"/>
      </w:pPr>
    </w:p>
    <w:p w14:paraId="0A454880" w14:textId="574C0997" w:rsidR="00285CD8" w:rsidRPr="00285CD8" w:rsidRDefault="00285CD8" w:rsidP="006066E8">
      <w:pPr>
        <w:jc w:val="both"/>
        <w:rPr>
          <w:b/>
          <w:bCs/>
        </w:rPr>
      </w:pPr>
      <w:r w:rsidRPr="00285CD8">
        <w:rPr>
          <w:b/>
          <w:bCs/>
        </w:rPr>
        <w:t xml:space="preserve">II. Postulat 1 – </w:t>
      </w:r>
      <w:r w:rsidR="00182A66" w:rsidRPr="00182A66">
        <w:rPr>
          <w:b/>
          <w:bCs/>
        </w:rPr>
        <w:t xml:space="preserve">zmiana mapy pomocy regionalnej (zwiększenie intensywności o 15 </w:t>
      </w:r>
      <w:proofErr w:type="spellStart"/>
      <w:r w:rsidR="00182A66" w:rsidRPr="00182A66">
        <w:rPr>
          <w:b/>
          <w:bCs/>
        </w:rPr>
        <w:t>p.p</w:t>
      </w:r>
      <w:proofErr w:type="spellEnd"/>
      <w:r w:rsidR="00182A66" w:rsidRPr="00182A66">
        <w:rPr>
          <w:b/>
          <w:bCs/>
        </w:rPr>
        <w:t>.)</w:t>
      </w:r>
    </w:p>
    <w:p w14:paraId="47EACF8E" w14:textId="38679520" w:rsidR="004D390C" w:rsidRDefault="0005521E" w:rsidP="006066E8">
      <w:pPr>
        <w:jc w:val="both"/>
      </w:pPr>
      <w:r w:rsidRPr="0005521E">
        <w:t xml:space="preserve">Wnosimy o zastosowanie dla wschodnich regionów przygranicznych UE </w:t>
      </w:r>
      <w:r w:rsidR="0096724F" w:rsidRPr="00285CD8">
        <w:t>(w tym właściwych regionów NUTS 2)</w:t>
      </w:r>
      <w:r w:rsidR="0096724F">
        <w:t xml:space="preserve"> </w:t>
      </w:r>
      <w:r w:rsidRPr="0005521E">
        <w:rPr>
          <w:b/>
          <w:bCs/>
        </w:rPr>
        <w:t>podwyższenia maksymalnej intensywności pomocy regionalnej o dodatkowe 15 punktów procentowych</w:t>
      </w:r>
      <w:r w:rsidRPr="0005521E">
        <w:t xml:space="preserve"> w stosunku do poziomów wynikających z aktualnie obowiązujących map pomocy regionalnej</w:t>
      </w:r>
      <w:r>
        <w:t xml:space="preserve">, </w:t>
      </w:r>
      <w:r w:rsidR="004D390C" w:rsidRPr="004D390C">
        <w:t>jako proporcjonalnej kompensacji trwałego, zewnętrznego ryzyka geopolitycznego oraz utrwalonej luki inwestycyjnej.</w:t>
      </w:r>
    </w:p>
    <w:p w14:paraId="213E9C09" w14:textId="3F6C74FF" w:rsidR="00285CD8" w:rsidRPr="00285CD8" w:rsidRDefault="00285CD8" w:rsidP="006066E8">
      <w:pPr>
        <w:jc w:val="both"/>
      </w:pPr>
      <w:r w:rsidRPr="00285CD8">
        <w:t xml:space="preserve">W Polsce narzędziem krajowym jest </w:t>
      </w:r>
      <w:r w:rsidRPr="00285CD8">
        <w:rPr>
          <w:b/>
          <w:bCs/>
        </w:rPr>
        <w:t>mapa pomocy regionalnej na lata 2022</w:t>
      </w:r>
      <w:r w:rsidR="00610875">
        <w:rPr>
          <w:b/>
          <w:bCs/>
        </w:rPr>
        <w:t>-</w:t>
      </w:r>
      <w:r w:rsidRPr="00285CD8">
        <w:rPr>
          <w:b/>
          <w:bCs/>
        </w:rPr>
        <w:t>2027</w:t>
      </w:r>
      <w:r w:rsidRPr="00285CD8">
        <w:t xml:space="preserve">, ustanowiona rozporządzeniem Rady Ministrów (Dz.U. 2021 poz. 2422, z późn. zmianami). </w:t>
      </w:r>
      <w:r w:rsidRPr="00285CD8">
        <w:rPr>
          <w:spacing w:val="-6"/>
        </w:rPr>
        <w:t>Mapa ta podlega jednocześnie ocenie zgodności z regułami pomocy państwa na poziomie UE.</w:t>
      </w:r>
      <w:r w:rsidRPr="00285CD8">
        <w:t xml:space="preserve"> </w:t>
      </w:r>
    </w:p>
    <w:p w14:paraId="79F4CB66" w14:textId="7A98D519" w:rsidR="00285CD8" w:rsidRDefault="00285CD8" w:rsidP="006066E8">
      <w:pPr>
        <w:jc w:val="both"/>
      </w:pPr>
      <w:r w:rsidRPr="00285CD8">
        <w:t xml:space="preserve">Komunikat Komisji wskazuje wprost kierunek: Komisja zachęca państwa członkowskie do </w:t>
      </w:r>
      <w:r w:rsidRPr="00285CD8">
        <w:rPr>
          <w:b/>
          <w:bCs/>
        </w:rPr>
        <w:t>zwiększania zachęt dla aktywności gospodarczej</w:t>
      </w:r>
      <w:r w:rsidRPr="00285CD8">
        <w:t>, w tym poprzez instrumenty zgodne z</w:t>
      </w:r>
      <w:r w:rsidR="004D2774">
        <w:t> </w:t>
      </w:r>
      <w:r w:rsidRPr="00285CD8">
        <w:t>zasadami pomocy państwa, oraz zapowiada ocenę zmian reguł pomocy państwa w</w:t>
      </w:r>
      <w:r w:rsidR="004D2774">
        <w:t> </w:t>
      </w:r>
      <w:r w:rsidRPr="00285CD8">
        <w:t xml:space="preserve">ramach </w:t>
      </w:r>
      <w:r w:rsidRPr="00285CD8">
        <w:rPr>
          <w:b/>
          <w:bCs/>
        </w:rPr>
        <w:t>przeglądu GBER 2026</w:t>
      </w:r>
      <w:r w:rsidR="00170FFE">
        <w:rPr>
          <w:b/>
          <w:bCs/>
        </w:rPr>
        <w:t xml:space="preserve"> </w:t>
      </w:r>
      <w:r w:rsidR="00170FFE" w:rsidRPr="00170FFE">
        <w:t>(rozporządzenie w sprawie wyłączeń blokowych)</w:t>
      </w:r>
      <w:r w:rsidRPr="00170FFE">
        <w:t>.</w:t>
      </w:r>
      <w:r w:rsidRPr="00285CD8">
        <w:t xml:space="preserve"> </w:t>
      </w:r>
    </w:p>
    <w:p w14:paraId="3F2C08DB" w14:textId="77777777" w:rsidR="00285CD8" w:rsidRPr="00285CD8" w:rsidRDefault="00285CD8" w:rsidP="006066E8">
      <w:pPr>
        <w:jc w:val="both"/>
      </w:pPr>
      <w:r w:rsidRPr="00285CD8">
        <w:t>Wnosimy zatem o:</w:t>
      </w:r>
    </w:p>
    <w:p w14:paraId="175C9CB1" w14:textId="77777777" w:rsidR="00285CD8" w:rsidRPr="00285CD8" w:rsidRDefault="00285CD8" w:rsidP="006066E8">
      <w:pPr>
        <w:numPr>
          <w:ilvl w:val="0"/>
          <w:numId w:val="1"/>
        </w:numPr>
        <w:jc w:val="both"/>
      </w:pPr>
      <w:r w:rsidRPr="00285CD8">
        <w:t>przygotowanie przez stronę krajową propozycji zmiany mapy i uzasadnienia terytorialnego dla wschodnich regionów przygranicznych,</w:t>
      </w:r>
    </w:p>
    <w:p w14:paraId="56F3F1B0" w14:textId="77777777" w:rsidR="00285CD8" w:rsidRDefault="00285CD8" w:rsidP="006066E8">
      <w:pPr>
        <w:numPr>
          <w:ilvl w:val="0"/>
          <w:numId w:val="1"/>
        </w:numPr>
        <w:jc w:val="both"/>
      </w:pPr>
      <w:r w:rsidRPr="00285CD8">
        <w:t xml:space="preserve">równoległe podjęcie dialogu z Komisją Europejską o zastosowaniu szczególnych rozwiązań dla tych regionów w ramach przeglądu GBER i w kontekście wytycznych dot. pomocy regionalnej. </w:t>
      </w:r>
    </w:p>
    <w:p w14:paraId="14F96B4A" w14:textId="77777777" w:rsidR="006066E8" w:rsidRPr="00285CD8" w:rsidRDefault="006066E8" w:rsidP="006066E8">
      <w:pPr>
        <w:ind w:left="360"/>
        <w:jc w:val="both"/>
      </w:pPr>
    </w:p>
    <w:p w14:paraId="678BE066" w14:textId="3F99F4AE" w:rsidR="00285CD8" w:rsidRPr="00285CD8" w:rsidRDefault="00285CD8" w:rsidP="006066E8">
      <w:pPr>
        <w:jc w:val="both"/>
        <w:rPr>
          <w:b/>
          <w:bCs/>
        </w:rPr>
      </w:pPr>
      <w:r w:rsidRPr="00285CD8">
        <w:rPr>
          <w:b/>
          <w:bCs/>
        </w:rPr>
        <w:t xml:space="preserve">III. Postulat 2 – </w:t>
      </w:r>
      <w:r w:rsidR="00B83E88" w:rsidRPr="00B83E88">
        <w:rPr>
          <w:b/>
          <w:bCs/>
        </w:rPr>
        <w:t>przywrócenie prostych projektów o charakterze inwestycyjnym</w:t>
      </w:r>
    </w:p>
    <w:p w14:paraId="6C6FA4D7" w14:textId="65DF0A8B" w:rsidR="00924D25" w:rsidRPr="00924D25" w:rsidRDefault="00924D25" w:rsidP="00924D25">
      <w:pPr>
        <w:jc w:val="both"/>
      </w:pPr>
      <w:r w:rsidRPr="00924D25">
        <w:t xml:space="preserve">Wnosimy o przywrócenie prostych projektów o charakterze inwestycyjnym, </w:t>
      </w:r>
      <w:r w:rsidRPr="00924D25">
        <w:rPr>
          <w:b/>
          <w:bCs/>
        </w:rPr>
        <w:t>wynikających z realnych potrzeb</w:t>
      </w:r>
      <w:r w:rsidRPr="00924D25">
        <w:t xml:space="preserve"> przedsiębiorstw, gospodarstw rolnych oraz jednostek samorządu terytorialnego. Chodzi o takie działania, które bezpośrednio budują zdolność do rozwoju, modernizacji i utrzymania działalności.</w:t>
      </w:r>
      <w:r>
        <w:t xml:space="preserve"> </w:t>
      </w:r>
      <w:r w:rsidRPr="00924D25">
        <w:t>W szczególności postulujemy uwzględnienie kwalifikowalności następujących kosztów inwestycyjnych:</w:t>
      </w:r>
    </w:p>
    <w:p w14:paraId="1C7225CC" w14:textId="77777777" w:rsidR="00924D25" w:rsidRPr="00924D25" w:rsidRDefault="00924D25" w:rsidP="00924D25">
      <w:pPr>
        <w:pStyle w:val="Akapitzlist"/>
        <w:numPr>
          <w:ilvl w:val="0"/>
          <w:numId w:val="5"/>
        </w:numPr>
        <w:jc w:val="both"/>
      </w:pPr>
      <w:r w:rsidRPr="00924D25">
        <w:lastRenderedPageBreak/>
        <w:t>nabycia nieruchomości (w tym gruntów, budynków lub lokali) – w zakresie uzasadnionym celem projektu,</w:t>
      </w:r>
    </w:p>
    <w:p w14:paraId="1D037EEA" w14:textId="77777777" w:rsidR="00924D25" w:rsidRPr="00924D25" w:rsidRDefault="00924D25" w:rsidP="00924D25">
      <w:pPr>
        <w:pStyle w:val="Akapitzlist"/>
        <w:numPr>
          <w:ilvl w:val="0"/>
          <w:numId w:val="5"/>
        </w:numPr>
        <w:jc w:val="both"/>
      </w:pPr>
      <w:r w:rsidRPr="00924D25">
        <w:t>robót budowlanych: budowy, rozbudowy, przebudowy, modernizacji i adaptacji obiektów,</w:t>
      </w:r>
    </w:p>
    <w:p w14:paraId="74073E2B" w14:textId="5D83961C" w:rsidR="00924D25" w:rsidRPr="00924D25" w:rsidRDefault="00474439" w:rsidP="00924D25">
      <w:pPr>
        <w:pStyle w:val="Akapitzlist"/>
        <w:numPr>
          <w:ilvl w:val="0"/>
          <w:numId w:val="5"/>
        </w:numPr>
        <w:jc w:val="both"/>
      </w:pPr>
      <w:r>
        <w:t>nabycie</w:t>
      </w:r>
      <w:r w:rsidR="00924D25" w:rsidRPr="00924D25">
        <w:t xml:space="preserve"> środków trwałych, w tym maszyn, urządzeń</w:t>
      </w:r>
      <w:r>
        <w:t xml:space="preserve"> czy</w:t>
      </w:r>
      <w:r w:rsidR="00924D25" w:rsidRPr="00924D25">
        <w:t xml:space="preserve"> linii technologicznych,</w:t>
      </w:r>
    </w:p>
    <w:p w14:paraId="066FE2E3" w14:textId="77777777" w:rsidR="00924D25" w:rsidRPr="00924D25" w:rsidRDefault="00924D25" w:rsidP="00924D25">
      <w:pPr>
        <w:pStyle w:val="Akapitzlist"/>
        <w:numPr>
          <w:ilvl w:val="0"/>
          <w:numId w:val="5"/>
        </w:numPr>
        <w:jc w:val="both"/>
      </w:pPr>
      <w:r w:rsidRPr="00924D25">
        <w:t>infrastruktury technicznej niezbędnej do uruchomienia lub unowocześnienia działalności (np. instalacje, przyłącza, wyposażenie techniczne),</w:t>
      </w:r>
    </w:p>
    <w:p w14:paraId="2ED809CE" w14:textId="2585B8E8" w:rsidR="00924D25" w:rsidRDefault="00924D25" w:rsidP="00924D25">
      <w:pPr>
        <w:pStyle w:val="Akapitzlist"/>
        <w:numPr>
          <w:ilvl w:val="0"/>
          <w:numId w:val="5"/>
        </w:numPr>
        <w:jc w:val="both"/>
      </w:pPr>
      <w:r w:rsidRPr="00924D25">
        <w:t>wyposażenia i aparatury wspierających podniesienie jakości, bezpieczeństwa, efektywności i ciągłości działania</w:t>
      </w:r>
      <w:r w:rsidR="00892817">
        <w:t>,</w:t>
      </w:r>
    </w:p>
    <w:p w14:paraId="7F23C8EB" w14:textId="532144BF" w:rsidR="00892817" w:rsidRPr="00924D25" w:rsidRDefault="00892817" w:rsidP="00924D25">
      <w:pPr>
        <w:pStyle w:val="Akapitzlist"/>
        <w:numPr>
          <w:ilvl w:val="0"/>
          <w:numId w:val="5"/>
        </w:numPr>
        <w:jc w:val="both"/>
      </w:pPr>
      <w:r>
        <w:t xml:space="preserve">wartości </w:t>
      </w:r>
      <w:r w:rsidR="00474439">
        <w:t>niematerialnych i prawnych, umożliwiających m.in. cyfryzację.</w:t>
      </w:r>
    </w:p>
    <w:p w14:paraId="0BB571C1" w14:textId="77777777" w:rsidR="002357DD" w:rsidRPr="002357DD" w:rsidRDefault="002357DD" w:rsidP="00924D25">
      <w:pPr>
        <w:jc w:val="both"/>
        <w:rPr>
          <w:sz w:val="4"/>
          <w:szCs w:val="4"/>
        </w:rPr>
      </w:pPr>
    </w:p>
    <w:p w14:paraId="72255BE6" w14:textId="530BEDFA" w:rsidR="00924D25" w:rsidRDefault="00924D25" w:rsidP="00924D25">
      <w:pPr>
        <w:jc w:val="both"/>
      </w:pPr>
      <w:r w:rsidRPr="00924D25">
        <w:t xml:space="preserve">Celem postulatu jest </w:t>
      </w:r>
      <w:r w:rsidRPr="00924D25">
        <w:rPr>
          <w:b/>
          <w:bCs/>
        </w:rPr>
        <w:t>uproszczenie i urealnienie wsparcia</w:t>
      </w:r>
      <w:r w:rsidRPr="00924D25">
        <w:t>, tak aby środki europejskie odpowiadały na rzeczywiste bariery rozwojowe w regionach przygranicznych, gdzie kluczowym ograniczeniem jest często brak możliwości sfinansowania podstawowych inwestycji materialnych.</w:t>
      </w:r>
    </w:p>
    <w:p w14:paraId="63C2383B" w14:textId="77777777" w:rsidR="00DD6B3D" w:rsidRPr="00285CD8" w:rsidRDefault="00DD6B3D" w:rsidP="00DD6B3D">
      <w:pPr>
        <w:jc w:val="both"/>
      </w:pPr>
    </w:p>
    <w:p w14:paraId="42BDEB6B" w14:textId="77777777" w:rsidR="00285CD8" w:rsidRPr="00285CD8" w:rsidRDefault="00285CD8" w:rsidP="006066E8">
      <w:pPr>
        <w:jc w:val="both"/>
        <w:rPr>
          <w:b/>
          <w:bCs/>
        </w:rPr>
      </w:pPr>
      <w:r w:rsidRPr="00285CD8">
        <w:rPr>
          <w:b/>
          <w:bCs/>
        </w:rPr>
        <w:t>IV. Wniosek końcowy – narzędzia rozwojowe muszą odpowiadać na realne potrzeby</w:t>
      </w:r>
    </w:p>
    <w:p w14:paraId="0AFD2E88" w14:textId="003FE495" w:rsidR="00285CD8" w:rsidRDefault="00285CD8" w:rsidP="006066E8">
      <w:pPr>
        <w:jc w:val="both"/>
      </w:pPr>
      <w:r w:rsidRPr="00285CD8">
        <w:t xml:space="preserve">UE musi być </w:t>
      </w:r>
      <w:r w:rsidRPr="00285CD8">
        <w:rPr>
          <w:b/>
          <w:bCs/>
        </w:rPr>
        <w:t>bliżej obywateli i lokalnych gospodarek</w:t>
      </w:r>
      <w:r w:rsidRPr="00285CD8">
        <w:t>. W regionach przygranicznych najbardziej „czytelne” społecznie i najszybciej uruchamialne są projekty inwestycyjne w</w:t>
      </w:r>
      <w:r w:rsidR="00205189">
        <w:t> </w:t>
      </w:r>
      <w:r w:rsidRPr="00285CD8">
        <w:t xml:space="preserve">realną zdolność produkcji i usług. To nie jest „powrót do prostoty dla prostoty”, lecz </w:t>
      </w:r>
      <w:r w:rsidRPr="00285CD8">
        <w:rPr>
          <w:b/>
          <w:bCs/>
        </w:rPr>
        <w:t>powrót do skuteczności</w:t>
      </w:r>
      <w:r w:rsidRPr="00285CD8">
        <w:t>, mierzonej miejscami pracy, odpornością łańcuchów dostaw i</w:t>
      </w:r>
      <w:r w:rsidR="00205189">
        <w:t> </w:t>
      </w:r>
      <w:r w:rsidRPr="00285CD8">
        <w:t>stabilnością lokalnych wspólnot.</w:t>
      </w:r>
    </w:p>
    <w:p w14:paraId="161DB53D" w14:textId="77777777" w:rsidR="006066E8" w:rsidRPr="00285CD8" w:rsidRDefault="006066E8" w:rsidP="006066E8">
      <w:pPr>
        <w:jc w:val="both"/>
      </w:pPr>
    </w:p>
    <w:p w14:paraId="2DEED5E6" w14:textId="0AF4DC7E" w:rsidR="00285CD8" w:rsidRPr="00285CD8" w:rsidRDefault="00205189" w:rsidP="006066E8">
      <w:pPr>
        <w:jc w:val="both"/>
      </w:pPr>
      <w:r>
        <w:t>Na podstawie powyższego, w</w:t>
      </w:r>
      <w:r w:rsidR="00285CD8" w:rsidRPr="00285CD8">
        <w:t>nosimy o:</w:t>
      </w:r>
    </w:p>
    <w:p w14:paraId="3E909EC3" w14:textId="77777777" w:rsidR="00285CD8" w:rsidRPr="00285CD8" w:rsidRDefault="00285CD8" w:rsidP="00DA6589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285CD8">
        <w:t>rozpoczęcie formalnych prac analitycznych nad podwyższeniem intensywności pomocy regionalnej o 15 pkt proc. dla wschodnich regionów przygranicznych,</w:t>
      </w:r>
    </w:p>
    <w:p w14:paraId="4D27803F" w14:textId="77777777" w:rsidR="00285CD8" w:rsidRPr="00285CD8" w:rsidRDefault="00285CD8" w:rsidP="00DA6589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pacing w:val="-4"/>
        </w:rPr>
      </w:pPr>
      <w:r w:rsidRPr="00285CD8">
        <w:rPr>
          <w:spacing w:val="-4"/>
        </w:rPr>
        <w:t>włączenie postulatu do dialogu krajowego i unijnego w związku z przeglądem GBER 2026,</w:t>
      </w:r>
    </w:p>
    <w:p w14:paraId="07C16D94" w14:textId="39DE35D7" w:rsidR="006066E8" w:rsidRDefault="008064BB" w:rsidP="006066E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8064BB">
        <w:t>przywrócenie prostych projektów o charakterze inwestycyjnym</w:t>
      </w:r>
      <w:r>
        <w:t xml:space="preserve">, </w:t>
      </w:r>
      <w:r w:rsidRPr="008064BB">
        <w:t>wynikających z</w:t>
      </w:r>
      <w:r>
        <w:t> </w:t>
      </w:r>
      <w:r w:rsidRPr="008064BB">
        <w:t xml:space="preserve">realnych potrzeb przedsiębiorstw, gospodarstw rolnych oraz </w:t>
      </w:r>
      <w:r>
        <w:t>JST.</w:t>
      </w:r>
    </w:p>
    <w:p w14:paraId="1E11F3C2" w14:textId="77777777" w:rsidR="002357DD" w:rsidRPr="00285CD8" w:rsidRDefault="002357DD" w:rsidP="002357DD">
      <w:pPr>
        <w:jc w:val="both"/>
      </w:pPr>
    </w:p>
    <w:p w14:paraId="1AC02BA1" w14:textId="19B36123" w:rsidR="00285CD8" w:rsidRPr="00285CD8" w:rsidRDefault="00285CD8" w:rsidP="00205189">
      <w:pPr>
        <w:jc w:val="right"/>
        <w:rPr>
          <w:i/>
          <w:iCs/>
        </w:rPr>
      </w:pPr>
      <w:r w:rsidRPr="00285CD8">
        <w:rPr>
          <w:i/>
          <w:iCs/>
        </w:rPr>
        <w:t>Z wyrazami szacunku</w:t>
      </w:r>
    </w:p>
    <w:p w14:paraId="3168358D" w14:textId="77777777" w:rsidR="00205189" w:rsidRPr="006C3494" w:rsidRDefault="00285CD8" w:rsidP="00205189">
      <w:pPr>
        <w:jc w:val="right"/>
        <w:rPr>
          <w:i/>
          <w:iCs/>
          <w:highlight w:val="yellow"/>
        </w:rPr>
      </w:pPr>
      <w:r w:rsidRPr="00285CD8">
        <w:rPr>
          <w:i/>
          <w:iCs/>
          <w:highlight w:val="yellow"/>
        </w:rPr>
        <w:t>[Imię i nazwisko]</w:t>
      </w:r>
    </w:p>
    <w:p w14:paraId="081C2293" w14:textId="77777777" w:rsidR="00205189" w:rsidRPr="006C3494" w:rsidRDefault="00285CD8" w:rsidP="00205189">
      <w:pPr>
        <w:jc w:val="right"/>
        <w:rPr>
          <w:i/>
          <w:iCs/>
          <w:highlight w:val="yellow"/>
        </w:rPr>
      </w:pPr>
      <w:r w:rsidRPr="00285CD8">
        <w:rPr>
          <w:i/>
          <w:iCs/>
          <w:highlight w:val="yellow"/>
        </w:rPr>
        <w:t>[Funkcja]</w:t>
      </w:r>
    </w:p>
    <w:p w14:paraId="4FD61B8B" w14:textId="3A67146E" w:rsidR="00B82B42" w:rsidRPr="00205189" w:rsidRDefault="00285CD8" w:rsidP="00205189">
      <w:pPr>
        <w:jc w:val="right"/>
        <w:rPr>
          <w:i/>
          <w:iCs/>
        </w:rPr>
      </w:pPr>
      <w:r w:rsidRPr="00285CD8">
        <w:rPr>
          <w:i/>
          <w:iCs/>
          <w:highlight w:val="yellow"/>
        </w:rPr>
        <w:t>[Nazwa organizacji]</w:t>
      </w:r>
    </w:p>
    <w:sectPr w:rsidR="00B82B42" w:rsidRPr="00205189" w:rsidSect="00DA6589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79B1" w14:textId="77777777" w:rsidR="005B24BD" w:rsidRDefault="005B24BD" w:rsidP="00D34EFF">
      <w:pPr>
        <w:spacing w:after="0" w:line="240" w:lineRule="auto"/>
      </w:pPr>
      <w:r>
        <w:separator/>
      </w:r>
    </w:p>
  </w:endnote>
  <w:endnote w:type="continuationSeparator" w:id="0">
    <w:p w14:paraId="02EE645F" w14:textId="77777777" w:rsidR="005B24BD" w:rsidRDefault="005B24BD" w:rsidP="00D3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51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565E57" w14:textId="366B6168" w:rsidR="00D34EFF" w:rsidRDefault="00D34EFF" w:rsidP="00D34E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Pr="00D34EFF">
              <w:fldChar w:fldCharType="begin"/>
            </w:r>
            <w:r w:rsidRPr="00D34EFF">
              <w:instrText>NUMPAGES</w:instrText>
            </w:r>
            <w:r w:rsidRPr="00D34EFF">
              <w:fldChar w:fldCharType="separate"/>
            </w:r>
            <w:r w:rsidRPr="00D34EFF">
              <w:t>2</w:t>
            </w:r>
            <w:r w:rsidRPr="00D34EFF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8F3F" w14:textId="77777777" w:rsidR="005B24BD" w:rsidRDefault="005B24BD" w:rsidP="00D34EFF">
      <w:pPr>
        <w:spacing w:after="0" w:line="240" w:lineRule="auto"/>
      </w:pPr>
      <w:r>
        <w:separator/>
      </w:r>
    </w:p>
  </w:footnote>
  <w:footnote w:type="continuationSeparator" w:id="0">
    <w:p w14:paraId="0DC49D09" w14:textId="77777777" w:rsidR="005B24BD" w:rsidRDefault="005B24BD" w:rsidP="00D34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B0C"/>
    <w:multiLevelType w:val="hybridMultilevel"/>
    <w:tmpl w:val="11C28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C85"/>
    <w:multiLevelType w:val="multilevel"/>
    <w:tmpl w:val="D60C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D6713"/>
    <w:multiLevelType w:val="multilevel"/>
    <w:tmpl w:val="07B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3522B"/>
    <w:multiLevelType w:val="multilevel"/>
    <w:tmpl w:val="E590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C57EE"/>
    <w:multiLevelType w:val="multilevel"/>
    <w:tmpl w:val="350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201314">
    <w:abstractNumId w:val="3"/>
  </w:num>
  <w:num w:numId="2" w16cid:durableId="824854371">
    <w:abstractNumId w:val="2"/>
  </w:num>
  <w:num w:numId="3" w16cid:durableId="491993615">
    <w:abstractNumId w:val="4"/>
  </w:num>
  <w:num w:numId="4" w16cid:durableId="1797603167">
    <w:abstractNumId w:val="1"/>
  </w:num>
  <w:num w:numId="5" w16cid:durableId="37886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8"/>
    <w:rsid w:val="00041D5C"/>
    <w:rsid w:val="0005521E"/>
    <w:rsid w:val="00083EA7"/>
    <w:rsid w:val="00105E58"/>
    <w:rsid w:val="00114B9E"/>
    <w:rsid w:val="00143E7D"/>
    <w:rsid w:val="00170FFE"/>
    <w:rsid w:val="00182A66"/>
    <w:rsid w:val="00205189"/>
    <w:rsid w:val="00230655"/>
    <w:rsid w:val="002357DD"/>
    <w:rsid w:val="002802AD"/>
    <w:rsid w:val="00285CD8"/>
    <w:rsid w:val="00315004"/>
    <w:rsid w:val="00373E59"/>
    <w:rsid w:val="003D5AF0"/>
    <w:rsid w:val="00465378"/>
    <w:rsid w:val="00474439"/>
    <w:rsid w:val="004B6EE8"/>
    <w:rsid w:val="004D2774"/>
    <w:rsid w:val="004D390C"/>
    <w:rsid w:val="00520E43"/>
    <w:rsid w:val="005A6EC9"/>
    <w:rsid w:val="005B24BD"/>
    <w:rsid w:val="005E7BC3"/>
    <w:rsid w:val="00604A76"/>
    <w:rsid w:val="006066E8"/>
    <w:rsid w:val="00610875"/>
    <w:rsid w:val="006C3494"/>
    <w:rsid w:val="00704096"/>
    <w:rsid w:val="008037B7"/>
    <w:rsid w:val="008064BB"/>
    <w:rsid w:val="00816D38"/>
    <w:rsid w:val="008719E5"/>
    <w:rsid w:val="00892817"/>
    <w:rsid w:val="00924D25"/>
    <w:rsid w:val="0096724F"/>
    <w:rsid w:val="009C3AEF"/>
    <w:rsid w:val="00A31333"/>
    <w:rsid w:val="00A56D1D"/>
    <w:rsid w:val="00B82B42"/>
    <w:rsid w:val="00B83E88"/>
    <w:rsid w:val="00C23B64"/>
    <w:rsid w:val="00C40FA4"/>
    <w:rsid w:val="00C538AA"/>
    <w:rsid w:val="00CC40AE"/>
    <w:rsid w:val="00D11A19"/>
    <w:rsid w:val="00D34EFF"/>
    <w:rsid w:val="00DA6589"/>
    <w:rsid w:val="00DD6B3D"/>
    <w:rsid w:val="00E60F56"/>
    <w:rsid w:val="00E716DE"/>
    <w:rsid w:val="00E9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B297"/>
  <w15:chartTrackingRefBased/>
  <w15:docId w15:val="{10A79EF9-679A-4186-97EA-B6E4650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qFormat/>
    <w:rsid w:val="00105E58"/>
    <w:rPr>
      <w:rFonts w:ascii="DejaVu Sans Condensed" w:eastAsia="DejaVu Sans Condensed" w:hAnsi="DejaVu Sans Condensed" w:cs="DejaVu Sans Condensed"/>
      <w:color w:val="467886" w:themeColor="hyperlink"/>
      <w:sz w:val="22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85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C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C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C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C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C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C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C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C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C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C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C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EFF"/>
  </w:style>
  <w:style w:type="paragraph" w:styleId="Stopka">
    <w:name w:val="footer"/>
    <w:basedOn w:val="Normalny"/>
    <w:link w:val="StopkaZnak"/>
    <w:uiPriority w:val="99"/>
    <w:unhideWhenUsed/>
    <w:rsid w:val="00D3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Stec</dc:creator>
  <cp:keywords/>
  <dc:description/>
  <cp:lastModifiedBy>Piotr Stec - Badania.pro</cp:lastModifiedBy>
  <cp:revision>20</cp:revision>
  <dcterms:created xsi:type="dcterms:W3CDTF">2026-02-23T12:32:00Z</dcterms:created>
  <dcterms:modified xsi:type="dcterms:W3CDTF">2026-03-25T14:20:00Z</dcterms:modified>
</cp:coreProperties>
</file>