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5545" w14:textId="2F56D1FB" w:rsidR="00A35D01" w:rsidRPr="009002F0" w:rsidRDefault="00A35D01" w:rsidP="00A35D01">
      <w:pPr>
        <w:tabs>
          <w:tab w:val="right" w:pos="9072"/>
        </w:tabs>
      </w:pPr>
      <w:r w:rsidRPr="009002F0">
        <w:rPr>
          <w:b/>
          <w:bCs/>
          <w:highlight w:val="yellow"/>
        </w:rPr>
        <w:t>[NAME OF ORGANISATION / ENTITY]</w:t>
      </w:r>
      <w:r w:rsidRPr="009002F0">
        <w:rPr>
          <w:b/>
          <w:bCs/>
        </w:rPr>
        <w:t xml:space="preserve"> </w:t>
      </w:r>
      <w:r w:rsidRPr="009002F0">
        <w:rPr>
          <w:b/>
          <w:bCs/>
        </w:rPr>
        <w:tab/>
      </w:r>
      <w:r w:rsidRPr="009002F0">
        <w:rPr>
          <w:i/>
          <w:iCs/>
          <w:highlight w:val="yellow"/>
        </w:rPr>
        <w:t>[City], [date]</w:t>
      </w:r>
    </w:p>
    <w:p w14:paraId="11B312CF" w14:textId="326DB989" w:rsidR="00A35D01" w:rsidRPr="009002F0" w:rsidRDefault="00A35D01" w:rsidP="00A35D01">
      <w:pPr>
        <w:tabs>
          <w:tab w:val="right" w:pos="9072"/>
        </w:tabs>
      </w:pPr>
      <w:r w:rsidRPr="009002F0">
        <w:rPr>
          <w:highlight w:val="yellow"/>
        </w:rPr>
        <w:t>[Address]</w:t>
      </w:r>
    </w:p>
    <w:p w14:paraId="1DE54167" w14:textId="77777777" w:rsidR="00A35D01" w:rsidRPr="009002F0" w:rsidRDefault="00A35D01" w:rsidP="00A35D01">
      <w:pPr>
        <w:tabs>
          <w:tab w:val="right" w:pos="9072"/>
        </w:tabs>
      </w:pPr>
    </w:p>
    <w:p w14:paraId="7F0ADAB7" w14:textId="0CEC6934" w:rsidR="00A35D01" w:rsidRPr="009002F0" w:rsidRDefault="00A35D01" w:rsidP="00A35D01">
      <w:pPr>
        <w:ind w:left="4820"/>
      </w:pPr>
      <w:r w:rsidRPr="009002F0">
        <w:rPr>
          <w:sz w:val="28"/>
          <w:szCs w:val="28"/>
        </w:rPr>
        <w:t>Mr</w:t>
      </w:r>
      <w:r w:rsidRPr="009002F0">
        <w:rPr>
          <w:b/>
          <w:bCs/>
          <w:sz w:val="28"/>
          <w:szCs w:val="28"/>
        </w:rPr>
        <w:br/>
        <w:t>Raffaele Fitto</w:t>
      </w:r>
      <w:r w:rsidRPr="009002F0">
        <w:rPr>
          <w:sz w:val="28"/>
          <w:szCs w:val="28"/>
        </w:rPr>
        <w:br/>
      </w:r>
      <w:r w:rsidRPr="009002F0">
        <w:t>Executive Vice-President of the European Commission</w:t>
      </w:r>
      <w:r w:rsidRPr="009002F0">
        <w:t xml:space="preserve"> </w:t>
      </w:r>
      <w:r w:rsidRPr="009002F0">
        <w:t>for Cohesion and Reforms</w:t>
      </w:r>
    </w:p>
    <w:p w14:paraId="5E759790" w14:textId="77777777" w:rsidR="00A35D01" w:rsidRPr="009002F0" w:rsidRDefault="00A35D01" w:rsidP="00A35D01">
      <w:pPr>
        <w:rPr>
          <w:b/>
          <w:bCs/>
        </w:rPr>
      </w:pPr>
    </w:p>
    <w:p w14:paraId="60445D88" w14:textId="77777777" w:rsidR="00A35D01" w:rsidRPr="009002F0" w:rsidRDefault="00A35D01" w:rsidP="00A35D01">
      <w:pPr>
        <w:rPr>
          <w:b/>
          <w:bCs/>
        </w:rPr>
      </w:pPr>
    </w:p>
    <w:p w14:paraId="39C50BAA" w14:textId="3B36E87A" w:rsidR="00A35D01" w:rsidRPr="009002F0" w:rsidRDefault="00A35D01" w:rsidP="00A35D01">
      <w:pPr>
        <w:jc w:val="center"/>
        <w:rPr>
          <w:b/>
          <w:bCs/>
          <w:sz w:val="36"/>
          <w:szCs w:val="36"/>
        </w:rPr>
      </w:pPr>
      <w:r w:rsidRPr="009002F0">
        <w:rPr>
          <w:b/>
          <w:bCs/>
          <w:sz w:val="36"/>
          <w:szCs w:val="36"/>
        </w:rPr>
        <w:t>POSITION PAPER</w:t>
      </w:r>
    </w:p>
    <w:p w14:paraId="575D49C1" w14:textId="04F22804" w:rsidR="00A35D01" w:rsidRPr="009002F0" w:rsidRDefault="00A35D01" w:rsidP="00A35D01">
      <w:pPr>
        <w:jc w:val="both"/>
        <w:rPr>
          <w:b/>
          <w:bCs/>
        </w:rPr>
      </w:pPr>
      <w:r w:rsidRPr="009002F0">
        <w:rPr>
          <w:b/>
          <w:bCs/>
        </w:rPr>
        <w:t>on increasing the maximum regional aid intensity for the EU’s eastern border regions and restoring simple investment-type projects</w:t>
      </w:r>
    </w:p>
    <w:p w14:paraId="30E35884" w14:textId="77777777" w:rsidR="00A35D01" w:rsidRPr="009002F0" w:rsidRDefault="00A35D01" w:rsidP="00A35D01">
      <w:pPr>
        <w:jc w:val="both"/>
      </w:pPr>
    </w:p>
    <w:p w14:paraId="1CC78CE8" w14:textId="3A61A50B" w:rsidR="00A35D01" w:rsidRPr="009002F0" w:rsidRDefault="00A35D01" w:rsidP="00A35D01">
      <w:pPr>
        <w:jc w:val="both"/>
        <w:rPr>
          <w:i/>
          <w:iCs/>
        </w:rPr>
      </w:pPr>
      <w:r w:rsidRPr="009002F0">
        <w:rPr>
          <w:i/>
          <w:iCs/>
        </w:rPr>
        <w:t>Dear Mr Executive Vice-President,</w:t>
      </w:r>
    </w:p>
    <w:p w14:paraId="2E7568AA" w14:textId="4F37F3C4" w:rsidR="00A35D01" w:rsidRPr="009002F0" w:rsidRDefault="0066206A" w:rsidP="00A35D01">
      <w:pPr>
        <w:jc w:val="both"/>
      </w:pPr>
      <w:r w:rsidRPr="009002F0">
        <w:t>a</w:t>
      </w:r>
      <w:r w:rsidRPr="009002F0">
        <w:t xml:space="preserve">cting on behalf of </w:t>
      </w:r>
      <w:r w:rsidRPr="009002F0">
        <w:rPr>
          <w:b/>
          <w:bCs/>
          <w:highlight w:val="yellow"/>
        </w:rPr>
        <w:t>[name of organisation]</w:t>
      </w:r>
      <w:r w:rsidRPr="009002F0">
        <w:t xml:space="preserve">, representing </w:t>
      </w:r>
      <w:r w:rsidRPr="009002F0">
        <w:rPr>
          <w:highlight w:val="yellow"/>
        </w:rPr>
        <w:t>[entrepreneurs / farmers / producers / local and regional authorities]</w:t>
      </w:r>
      <w:r w:rsidRPr="009002F0">
        <w:t xml:space="preserve">, </w:t>
      </w:r>
      <w:r w:rsidR="00865CE2" w:rsidRPr="009002F0">
        <w:t xml:space="preserve">we hereby call for urgent action </w:t>
      </w:r>
      <w:r w:rsidR="00865CE2" w:rsidRPr="009002F0">
        <w:rPr>
          <w:b/>
          <w:bCs/>
        </w:rPr>
        <w:t>to strengthen regional aid and practical investment instruments</w:t>
      </w:r>
      <w:r w:rsidR="00865CE2" w:rsidRPr="009002F0">
        <w:t xml:space="preserve"> for the EU’s eastern regions bordering Russia, Belarus and Ukraine</w:t>
      </w:r>
      <w:r w:rsidRPr="009002F0">
        <w:t>.</w:t>
      </w:r>
    </w:p>
    <w:p w14:paraId="693D0710" w14:textId="77777777" w:rsidR="00A35D01" w:rsidRPr="009002F0" w:rsidRDefault="00A35D01" w:rsidP="00A35D01">
      <w:pPr>
        <w:jc w:val="both"/>
      </w:pPr>
    </w:p>
    <w:p w14:paraId="6544F1B0" w14:textId="21FAD93F" w:rsidR="00A35D01" w:rsidRPr="009002F0" w:rsidRDefault="0066206A" w:rsidP="00A35D01">
      <w:pPr>
        <w:jc w:val="both"/>
        <w:rPr>
          <w:b/>
          <w:bCs/>
        </w:rPr>
      </w:pPr>
      <w:r w:rsidRPr="009002F0">
        <w:rPr>
          <w:b/>
          <w:bCs/>
        </w:rPr>
        <w:t>I. Rationale – security, demography, the economy and societal resilience</w:t>
      </w:r>
    </w:p>
    <w:p w14:paraId="6D87ED81" w14:textId="2175F7BD" w:rsidR="00865CE2" w:rsidRPr="00865CE2" w:rsidRDefault="00865CE2" w:rsidP="00865CE2">
      <w:pPr>
        <w:jc w:val="both"/>
      </w:pPr>
      <w:r w:rsidRPr="00865CE2">
        <w:t xml:space="preserve">The eastern border regions bear </w:t>
      </w:r>
      <w:r w:rsidRPr="00865CE2">
        <w:rPr>
          <w:b/>
          <w:bCs/>
        </w:rPr>
        <w:t>the security costs of the Union as a whole</w:t>
      </w:r>
      <w:r w:rsidRPr="00865CE2">
        <w:t>. The</w:t>
      </w:r>
      <w:r w:rsidRPr="009002F0">
        <w:t> </w:t>
      </w:r>
      <w:r w:rsidRPr="00865CE2">
        <w:t xml:space="preserve">European Commission Communication COM(2026) 82 final, </w:t>
      </w:r>
      <w:r w:rsidRPr="00865CE2">
        <w:rPr>
          <w:i/>
          <w:iCs/>
        </w:rPr>
        <w:t>“Strong regions for</w:t>
      </w:r>
      <w:r w:rsidR="00CB226D" w:rsidRPr="009002F0">
        <w:rPr>
          <w:i/>
          <w:iCs/>
        </w:rPr>
        <w:t> </w:t>
      </w:r>
      <w:r w:rsidRPr="00865CE2">
        <w:rPr>
          <w:i/>
          <w:iCs/>
        </w:rPr>
        <w:t>a</w:t>
      </w:r>
      <w:r w:rsidR="00D87AC4" w:rsidRPr="009002F0">
        <w:rPr>
          <w:i/>
          <w:iCs/>
        </w:rPr>
        <w:t> </w:t>
      </w:r>
      <w:r w:rsidRPr="00865CE2">
        <w:rPr>
          <w:i/>
          <w:iCs/>
        </w:rPr>
        <w:t>safe Europe”</w:t>
      </w:r>
      <w:r w:rsidRPr="00865CE2">
        <w:t>, indicates that these areas are exposed to an accumulation of hybrid and destabilising threats and that the security situation has a direct impact on</w:t>
      </w:r>
      <w:r w:rsidR="00CB226D" w:rsidRPr="009002F0">
        <w:t> </w:t>
      </w:r>
      <w:r w:rsidRPr="00865CE2">
        <w:t>development and investment conditions.</w:t>
      </w:r>
    </w:p>
    <w:p w14:paraId="12AF68AD" w14:textId="5EB387F0" w:rsidR="00865CE2" w:rsidRPr="00865CE2" w:rsidRDefault="00865CE2" w:rsidP="00865CE2">
      <w:pPr>
        <w:jc w:val="both"/>
      </w:pPr>
      <w:r w:rsidRPr="00865CE2">
        <w:t xml:space="preserve">At the same time, the Communication highlights </w:t>
      </w:r>
      <w:r w:rsidRPr="00865CE2">
        <w:rPr>
          <w:b/>
          <w:bCs/>
        </w:rPr>
        <w:t>exceptionally adverse demographic trends</w:t>
      </w:r>
      <w:r w:rsidRPr="00865CE2">
        <w:t>: some regions have lost more than 17% of their population over the past decade, while the average population decline in the eastern border regions between 2016 and</w:t>
      </w:r>
      <w:r w:rsidR="00CB226D" w:rsidRPr="009002F0">
        <w:t> </w:t>
      </w:r>
      <w:r w:rsidRPr="00865CE2">
        <w:t>2025 amounted to -2.6%, compared with overall EU population growth of +1.2%.</w:t>
      </w:r>
    </w:p>
    <w:p w14:paraId="6E4F5D3B" w14:textId="4D83E399" w:rsidR="00865CE2" w:rsidRPr="00865CE2" w:rsidRDefault="00865CE2" w:rsidP="00865CE2">
      <w:pPr>
        <w:jc w:val="both"/>
      </w:pPr>
      <w:r w:rsidRPr="00865CE2">
        <w:t xml:space="preserve">Elevated geopolitical risk along the EU’s external border leads to </w:t>
      </w:r>
      <w:r w:rsidRPr="00865CE2">
        <w:rPr>
          <w:b/>
          <w:bCs/>
        </w:rPr>
        <w:t>reduced economic activity and cross-border cooperation, as well as an increase in financing risk for</w:t>
      </w:r>
      <w:r w:rsidR="00CB226D" w:rsidRPr="009002F0">
        <w:rPr>
          <w:b/>
          <w:bCs/>
        </w:rPr>
        <w:t> </w:t>
      </w:r>
      <w:r w:rsidRPr="00865CE2">
        <w:rPr>
          <w:b/>
          <w:bCs/>
        </w:rPr>
        <w:t>investment projects</w:t>
      </w:r>
      <w:r w:rsidRPr="00865CE2">
        <w:t xml:space="preserve">. As a consequence, </w:t>
      </w:r>
      <w:r w:rsidRPr="00865CE2">
        <w:rPr>
          <w:b/>
          <w:bCs/>
        </w:rPr>
        <w:t>the investment gap widens and barriers to</w:t>
      </w:r>
      <w:r w:rsidR="00CB226D" w:rsidRPr="009002F0">
        <w:rPr>
          <w:b/>
          <w:bCs/>
        </w:rPr>
        <w:t> </w:t>
      </w:r>
      <w:r w:rsidRPr="00865CE2">
        <w:rPr>
          <w:b/>
          <w:bCs/>
        </w:rPr>
        <w:t>attracting capital intensify</w:t>
      </w:r>
      <w:r w:rsidRPr="00865CE2">
        <w:t xml:space="preserve">, which encourages labour outflows and weakens local labour markets. Over time, this leads to reduced availability and quality of public services </w:t>
      </w:r>
      <w:r w:rsidRPr="00865CE2">
        <w:lastRenderedPageBreak/>
        <w:t xml:space="preserve">and to </w:t>
      </w:r>
      <w:r w:rsidRPr="00865CE2">
        <w:rPr>
          <w:b/>
          <w:bCs/>
        </w:rPr>
        <w:t>a weakening of social cohesion</w:t>
      </w:r>
      <w:r w:rsidRPr="00865CE2">
        <w:t xml:space="preserve">. Under such conditions, local communities also become more vulnerable to information manipulation, including disinformation, which </w:t>
      </w:r>
      <w:r w:rsidRPr="00865CE2">
        <w:rPr>
          <w:b/>
          <w:bCs/>
        </w:rPr>
        <w:t>increases the risk of destabilising activities</w:t>
      </w:r>
      <w:r w:rsidRPr="00865CE2">
        <w:t>.</w:t>
      </w:r>
    </w:p>
    <w:p w14:paraId="75B89CF6" w14:textId="77777777" w:rsidR="00865CE2" w:rsidRPr="00865CE2" w:rsidRDefault="00865CE2" w:rsidP="00865CE2">
      <w:pPr>
        <w:jc w:val="both"/>
      </w:pPr>
      <w:r w:rsidRPr="00865CE2">
        <w:t xml:space="preserve">Consequently, development support for these regions is not merely a policy of equalising opportunities – it is an element of </w:t>
      </w:r>
      <w:r w:rsidRPr="00865CE2">
        <w:rPr>
          <w:b/>
          <w:bCs/>
        </w:rPr>
        <w:t>the EU security architecture</w:t>
      </w:r>
      <w:r w:rsidRPr="00865CE2">
        <w:t>, which should be supported financially and through appropriate regulatory measures in a manner proportionate to the scale of the challenges involved.</w:t>
      </w:r>
    </w:p>
    <w:p w14:paraId="1F7E5FDE" w14:textId="77777777" w:rsidR="00A35D01" w:rsidRPr="009002F0" w:rsidRDefault="00A35D01" w:rsidP="00A35D01">
      <w:pPr>
        <w:jc w:val="both"/>
      </w:pPr>
    </w:p>
    <w:p w14:paraId="4E309307" w14:textId="5DD110E1" w:rsidR="00A35D01" w:rsidRPr="009002F0" w:rsidRDefault="00865CE2" w:rsidP="00A35D01">
      <w:pPr>
        <w:jc w:val="both"/>
        <w:rPr>
          <w:b/>
          <w:bCs/>
        </w:rPr>
      </w:pPr>
      <w:r w:rsidRPr="009002F0">
        <w:rPr>
          <w:b/>
          <w:bCs/>
        </w:rPr>
        <w:t>II. Request 1 – amendment of the regional aid map (increase in intensity by</w:t>
      </w:r>
      <w:r w:rsidRPr="009002F0">
        <w:rPr>
          <w:b/>
          <w:bCs/>
        </w:rPr>
        <w:t> </w:t>
      </w:r>
      <w:r w:rsidRPr="009002F0">
        <w:rPr>
          <w:b/>
          <w:bCs/>
        </w:rPr>
        <w:t>15</w:t>
      </w:r>
      <w:r w:rsidRPr="009002F0">
        <w:rPr>
          <w:b/>
          <w:bCs/>
        </w:rPr>
        <w:t> </w:t>
      </w:r>
      <w:r w:rsidRPr="009002F0">
        <w:rPr>
          <w:b/>
          <w:bCs/>
        </w:rPr>
        <w:t>percentage points)</w:t>
      </w:r>
    </w:p>
    <w:p w14:paraId="7CA7127D" w14:textId="5DC3EB97" w:rsidR="00865CE2" w:rsidRPr="00865CE2" w:rsidRDefault="00865CE2" w:rsidP="00865CE2">
      <w:pPr>
        <w:jc w:val="both"/>
      </w:pPr>
      <w:r w:rsidRPr="00865CE2">
        <w:t xml:space="preserve">We call for the application, for the EU’s eastern regions bordering Russia, Belarus and Ukraine (including the relevant NUTS 2 regions), of </w:t>
      </w:r>
      <w:r w:rsidRPr="00865CE2">
        <w:rPr>
          <w:b/>
          <w:bCs/>
        </w:rPr>
        <w:t>an increase in the maximum regional aid intensity by an additional 15 percentage points</w:t>
      </w:r>
      <w:r w:rsidRPr="00865CE2">
        <w:t xml:space="preserve"> compared with the levels resulting from the currently applicable regional aid maps, as proportionate compensation for</w:t>
      </w:r>
      <w:r w:rsidR="00CB226D" w:rsidRPr="009002F0">
        <w:t> </w:t>
      </w:r>
      <w:r w:rsidRPr="00865CE2">
        <w:t>persistent external geopolitical risk and the structural investment gap.</w:t>
      </w:r>
    </w:p>
    <w:p w14:paraId="307D4ADC" w14:textId="1C6D38A9" w:rsidR="00865CE2" w:rsidRPr="00865CE2" w:rsidRDefault="00865CE2" w:rsidP="00865CE2">
      <w:pPr>
        <w:jc w:val="both"/>
      </w:pPr>
      <w:r w:rsidRPr="00865CE2">
        <w:t xml:space="preserve">In Poland, the national instrument in this respect is the </w:t>
      </w:r>
      <w:r w:rsidRPr="00865CE2">
        <w:rPr>
          <w:b/>
          <w:bCs/>
        </w:rPr>
        <w:t>regional aid map for 2022–2027</w:t>
      </w:r>
      <w:r w:rsidRPr="00865CE2">
        <w:t>, established by a regulation of the Council of Ministers. At the same time, that map is</w:t>
      </w:r>
      <w:r w:rsidR="00CB226D" w:rsidRPr="009002F0">
        <w:t> </w:t>
      </w:r>
      <w:r w:rsidRPr="00865CE2">
        <w:t>subject to compliance with EU State aid rules.</w:t>
      </w:r>
    </w:p>
    <w:p w14:paraId="51ADA0BA" w14:textId="00558B9C" w:rsidR="00865CE2" w:rsidRPr="00865CE2" w:rsidRDefault="00865CE2" w:rsidP="00865CE2">
      <w:pPr>
        <w:jc w:val="both"/>
      </w:pPr>
      <w:r w:rsidRPr="00865CE2">
        <w:t xml:space="preserve">The Commission Communication clearly points to the relevant direction: the Commission encourages Member States to </w:t>
      </w:r>
      <w:r w:rsidRPr="00865CE2">
        <w:rPr>
          <w:b/>
          <w:bCs/>
        </w:rPr>
        <w:t>increase incentives for economic activity</w:t>
      </w:r>
      <w:r w:rsidRPr="00865CE2">
        <w:t xml:space="preserve">, including through instruments compliant with State aid rules, and announces </w:t>
      </w:r>
      <w:r w:rsidRPr="00865CE2">
        <w:rPr>
          <w:spacing w:val="-2"/>
        </w:rPr>
        <w:t>an</w:t>
      </w:r>
      <w:r w:rsidR="00CB226D" w:rsidRPr="009002F0">
        <w:rPr>
          <w:spacing w:val="-2"/>
        </w:rPr>
        <w:t> </w:t>
      </w:r>
      <w:r w:rsidRPr="00865CE2">
        <w:rPr>
          <w:spacing w:val="-2"/>
        </w:rPr>
        <w:t xml:space="preserve">assessment of possible amendments to State aid rules in the context of the </w:t>
      </w:r>
      <w:r w:rsidRPr="00865CE2">
        <w:rPr>
          <w:b/>
          <w:bCs/>
          <w:spacing w:val="-2"/>
        </w:rPr>
        <w:t>2026</w:t>
      </w:r>
      <w:r w:rsidR="00CB226D" w:rsidRPr="009002F0">
        <w:rPr>
          <w:b/>
          <w:bCs/>
          <w:spacing w:val="-2"/>
        </w:rPr>
        <w:t> </w:t>
      </w:r>
      <w:proofErr w:type="spellStart"/>
      <w:r w:rsidRPr="00865CE2">
        <w:rPr>
          <w:b/>
          <w:bCs/>
          <w:spacing w:val="-2"/>
        </w:rPr>
        <w:t>GBER</w:t>
      </w:r>
      <w:proofErr w:type="spellEnd"/>
      <w:r w:rsidRPr="00865CE2">
        <w:rPr>
          <w:b/>
          <w:bCs/>
        </w:rPr>
        <w:t xml:space="preserve"> review</w:t>
      </w:r>
      <w:r w:rsidRPr="00865CE2">
        <w:t xml:space="preserve"> (General Block Exemption Regulation).</w:t>
      </w:r>
    </w:p>
    <w:p w14:paraId="2DDF129C" w14:textId="7C3D01FE" w:rsidR="00A35D01" w:rsidRPr="009002F0" w:rsidRDefault="00865CE2" w:rsidP="00A35D01">
      <w:pPr>
        <w:jc w:val="both"/>
      </w:pPr>
      <w:r w:rsidRPr="00865CE2">
        <w:t>Accordingly, we call for</w:t>
      </w:r>
      <w:r w:rsidR="00A35D01" w:rsidRPr="009002F0">
        <w:t>:</w:t>
      </w:r>
    </w:p>
    <w:p w14:paraId="3B96F3EA" w14:textId="77777777" w:rsidR="00865CE2" w:rsidRPr="00865CE2" w:rsidRDefault="00865CE2" w:rsidP="00865CE2">
      <w:pPr>
        <w:numPr>
          <w:ilvl w:val="0"/>
          <w:numId w:val="1"/>
        </w:numPr>
        <w:jc w:val="both"/>
      </w:pPr>
      <w:r w:rsidRPr="00865CE2">
        <w:t>the preparation, at national level, of a proposal to amend the regional aid map together with a territorial justification for the eastern border regions;</w:t>
      </w:r>
    </w:p>
    <w:p w14:paraId="775AE988" w14:textId="43CE3C0C" w:rsidR="00A35D01" w:rsidRPr="009002F0" w:rsidRDefault="00865CE2" w:rsidP="00865CE2">
      <w:pPr>
        <w:numPr>
          <w:ilvl w:val="0"/>
          <w:numId w:val="1"/>
        </w:numPr>
        <w:jc w:val="both"/>
      </w:pPr>
      <w:r w:rsidRPr="009002F0">
        <w:t xml:space="preserve">parallel dialogue with the European Commission on the application of dedicated solutions for these regions in the context of the </w:t>
      </w:r>
      <w:proofErr w:type="spellStart"/>
      <w:r w:rsidRPr="009002F0">
        <w:t>GBER</w:t>
      </w:r>
      <w:proofErr w:type="spellEnd"/>
      <w:r w:rsidRPr="009002F0">
        <w:t xml:space="preserve"> review and the regional aid guidelines.</w:t>
      </w:r>
      <w:r w:rsidR="00A35D01" w:rsidRPr="009002F0">
        <w:t xml:space="preserve"> </w:t>
      </w:r>
    </w:p>
    <w:p w14:paraId="75BDF1B3" w14:textId="77777777" w:rsidR="00A35D01" w:rsidRPr="009002F0" w:rsidRDefault="00A35D01" w:rsidP="00A35D01">
      <w:pPr>
        <w:ind w:left="360"/>
        <w:jc w:val="both"/>
      </w:pPr>
    </w:p>
    <w:p w14:paraId="12EE646E" w14:textId="7309D1CB" w:rsidR="00A35D01" w:rsidRPr="009002F0" w:rsidRDefault="00A35D01" w:rsidP="00A35D01">
      <w:pPr>
        <w:jc w:val="both"/>
        <w:rPr>
          <w:b/>
          <w:bCs/>
        </w:rPr>
      </w:pPr>
      <w:r w:rsidRPr="009002F0">
        <w:rPr>
          <w:b/>
          <w:bCs/>
        </w:rPr>
        <w:t>I</w:t>
      </w:r>
      <w:r w:rsidR="00D87AC4" w:rsidRPr="009002F0">
        <w:t xml:space="preserve"> </w:t>
      </w:r>
      <w:r w:rsidR="00D87AC4" w:rsidRPr="009002F0">
        <w:rPr>
          <w:b/>
          <w:bCs/>
        </w:rPr>
        <w:t>III. Request 2 – restoring simple investment projects</w:t>
      </w:r>
    </w:p>
    <w:p w14:paraId="5E8F81F0" w14:textId="60C59EDF" w:rsidR="00A35D01" w:rsidRPr="009002F0" w:rsidRDefault="00D87AC4" w:rsidP="00A35D01">
      <w:pPr>
        <w:jc w:val="both"/>
      </w:pPr>
      <w:r w:rsidRPr="009002F0">
        <w:t>We call for the restoration of simple investment projects reflecting real needs of</w:t>
      </w:r>
      <w:r w:rsidR="00CB226D" w:rsidRPr="009002F0">
        <w:t> </w:t>
      </w:r>
      <w:r w:rsidRPr="009002F0">
        <w:t>enterprises, farms and local and regional authorities. These are measures that directly build capacity for development, modernisation and continuity of operations. In particular, we call for the eligibility of the following investment costs</w:t>
      </w:r>
      <w:r w:rsidR="00A35D01" w:rsidRPr="009002F0">
        <w:t>:</w:t>
      </w:r>
    </w:p>
    <w:p w14:paraId="13ECCDCA" w14:textId="33FC34D3" w:rsidR="00CB226D" w:rsidRPr="00CB226D" w:rsidRDefault="00CB226D" w:rsidP="00CB226D">
      <w:pPr>
        <w:pStyle w:val="Akapitzlist"/>
        <w:numPr>
          <w:ilvl w:val="0"/>
          <w:numId w:val="3"/>
        </w:numPr>
        <w:jc w:val="both"/>
      </w:pPr>
      <w:r w:rsidRPr="00CB226D">
        <w:lastRenderedPageBreak/>
        <w:t>acquisition of real estate (including land, buildings or premises), insofar as</w:t>
      </w:r>
      <w:r w:rsidRPr="009002F0">
        <w:t> </w:t>
      </w:r>
      <w:r w:rsidRPr="00CB226D">
        <w:t xml:space="preserve">justified by the objective of the project, </w:t>
      </w:r>
    </w:p>
    <w:p w14:paraId="7E9F7228" w14:textId="740B5229" w:rsidR="00CB226D" w:rsidRPr="00CB226D" w:rsidRDefault="00CB226D" w:rsidP="00CB226D">
      <w:pPr>
        <w:pStyle w:val="Akapitzlist"/>
        <w:numPr>
          <w:ilvl w:val="0"/>
          <w:numId w:val="3"/>
        </w:numPr>
        <w:jc w:val="both"/>
      </w:pPr>
      <w:r w:rsidRPr="00CB226D">
        <w:t>construction works: construction, extension, reconstruction, modernisation and</w:t>
      </w:r>
      <w:r w:rsidRPr="009002F0">
        <w:t> </w:t>
      </w:r>
      <w:r w:rsidRPr="00CB226D">
        <w:t xml:space="preserve">adaptation of facilities, </w:t>
      </w:r>
    </w:p>
    <w:p w14:paraId="45EB5614" w14:textId="6087DF29" w:rsidR="00CB226D" w:rsidRPr="00CB226D" w:rsidRDefault="00CB226D" w:rsidP="00CB226D">
      <w:pPr>
        <w:pStyle w:val="Akapitzlist"/>
        <w:numPr>
          <w:ilvl w:val="0"/>
          <w:numId w:val="3"/>
        </w:numPr>
        <w:jc w:val="both"/>
      </w:pPr>
      <w:r w:rsidRPr="00CB226D">
        <w:t xml:space="preserve">acquisition of fixed assets, including machinery, equipment and production lines, </w:t>
      </w:r>
    </w:p>
    <w:p w14:paraId="70520651" w14:textId="2107C537" w:rsidR="00CB226D" w:rsidRPr="00CB226D" w:rsidRDefault="00CB226D" w:rsidP="00CB226D">
      <w:pPr>
        <w:pStyle w:val="Akapitzlist"/>
        <w:numPr>
          <w:ilvl w:val="0"/>
          <w:numId w:val="3"/>
        </w:numPr>
        <w:jc w:val="both"/>
      </w:pPr>
      <w:r w:rsidRPr="00CB226D">
        <w:t>technical infrastructure necessary to launch or modernise operations (e.g.</w:t>
      </w:r>
      <w:r w:rsidRPr="009002F0">
        <w:t> </w:t>
      </w:r>
      <w:r w:rsidRPr="00CB226D">
        <w:t xml:space="preserve">installations, utility connections, technical equipment), </w:t>
      </w:r>
    </w:p>
    <w:p w14:paraId="15C95574" w14:textId="0D5307C9" w:rsidR="00CB226D" w:rsidRPr="00CB226D" w:rsidRDefault="00CB226D" w:rsidP="00CB226D">
      <w:pPr>
        <w:pStyle w:val="Akapitzlist"/>
        <w:numPr>
          <w:ilvl w:val="0"/>
          <w:numId w:val="3"/>
        </w:numPr>
        <w:jc w:val="both"/>
      </w:pPr>
      <w:r w:rsidRPr="00CB226D">
        <w:t xml:space="preserve">equipment and apparatus supporting improvements in quality, safety, efficiency and continuity of operations, </w:t>
      </w:r>
    </w:p>
    <w:p w14:paraId="6E32DB17" w14:textId="5354BEDB" w:rsidR="00A35D01" w:rsidRPr="009002F0" w:rsidRDefault="00CB226D" w:rsidP="00CB226D">
      <w:pPr>
        <w:pStyle w:val="Akapitzlist"/>
        <w:numPr>
          <w:ilvl w:val="0"/>
          <w:numId w:val="3"/>
        </w:numPr>
        <w:jc w:val="both"/>
      </w:pPr>
      <w:r w:rsidRPr="009002F0">
        <w:t xml:space="preserve"> intangible assets, enabling, inter alia, digitalisation.</w:t>
      </w:r>
      <w:r w:rsidR="00A35D01" w:rsidRPr="009002F0">
        <w:t>.</w:t>
      </w:r>
    </w:p>
    <w:p w14:paraId="300C0335" w14:textId="77777777" w:rsidR="00A35D01" w:rsidRPr="009002F0" w:rsidRDefault="00A35D01" w:rsidP="00A35D01">
      <w:pPr>
        <w:jc w:val="both"/>
        <w:rPr>
          <w:sz w:val="4"/>
          <w:szCs w:val="4"/>
        </w:rPr>
      </w:pPr>
    </w:p>
    <w:p w14:paraId="57E3D9DA" w14:textId="5304F7CE" w:rsidR="00A35D01" w:rsidRPr="009002F0" w:rsidRDefault="00CB226D" w:rsidP="00A35D01">
      <w:pPr>
        <w:jc w:val="both"/>
      </w:pPr>
      <w:r w:rsidRPr="009002F0">
        <w:t xml:space="preserve">The purpose of this request is </w:t>
      </w:r>
      <w:r w:rsidRPr="009002F0">
        <w:rPr>
          <w:b/>
          <w:bCs/>
        </w:rPr>
        <w:t>to simplify and make support more realistic</w:t>
      </w:r>
      <w:r w:rsidRPr="009002F0">
        <w:t>, so that European funds respond to genuine development barriers in border regions, where a key constraint is often the lack of capacity to finance basic material investments</w:t>
      </w:r>
      <w:r w:rsidR="00A35D01" w:rsidRPr="009002F0">
        <w:t>.</w:t>
      </w:r>
    </w:p>
    <w:p w14:paraId="5B29529D" w14:textId="77777777" w:rsidR="00A35D01" w:rsidRPr="009002F0" w:rsidRDefault="00A35D01" w:rsidP="00A35D01">
      <w:pPr>
        <w:jc w:val="both"/>
      </w:pPr>
    </w:p>
    <w:p w14:paraId="5B5349BE" w14:textId="1423736D" w:rsidR="00A35D01" w:rsidRPr="009002F0" w:rsidRDefault="00CB226D" w:rsidP="00A35D01">
      <w:pPr>
        <w:jc w:val="both"/>
        <w:rPr>
          <w:b/>
          <w:bCs/>
        </w:rPr>
      </w:pPr>
      <w:r w:rsidRPr="009002F0">
        <w:rPr>
          <w:b/>
          <w:bCs/>
        </w:rPr>
        <w:t>IV. Final conclusion – development instruments must respond to real needs</w:t>
      </w:r>
    </w:p>
    <w:p w14:paraId="2417519F" w14:textId="77777777" w:rsidR="00CB226D" w:rsidRPr="009002F0" w:rsidRDefault="00CB226D" w:rsidP="00CB226D">
      <w:pPr>
        <w:jc w:val="both"/>
      </w:pPr>
      <w:r w:rsidRPr="009002F0">
        <w:t>The EU must be closer to citizens and local economies. In border regions, the most socially tangible and the quickest to launch are investment projects that build real production and service capacity. This is not a return to simplicity for the sake of simplicity, but a return to effectiveness, measured in jobs, supply-chain resilience and the stability of local communities.</w:t>
      </w:r>
    </w:p>
    <w:p w14:paraId="2DA30B18" w14:textId="77777777" w:rsidR="00CB226D" w:rsidRPr="009002F0" w:rsidRDefault="00CB226D" w:rsidP="00CB226D">
      <w:pPr>
        <w:jc w:val="both"/>
      </w:pPr>
    </w:p>
    <w:p w14:paraId="3DBD2584" w14:textId="62ED5263" w:rsidR="00A35D01" w:rsidRPr="009002F0" w:rsidRDefault="00CB226D" w:rsidP="00CB226D">
      <w:pPr>
        <w:jc w:val="both"/>
      </w:pPr>
      <w:r w:rsidRPr="009002F0">
        <w:t>On the basis of the above, we call for</w:t>
      </w:r>
      <w:r w:rsidR="00A35D01" w:rsidRPr="009002F0">
        <w:t>:</w:t>
      </w:r>
    </w:p>
    <w:p w14:paraId="454BD8CE" w14:textId="745BD57C" w:rsidR="00CB226D" w:rsidRPr="009002F0" w:rsidRDefault="00CB226D" w:rsidP="00CB226D">
      <w:pPr>
        <w:numPr>
          <w:ilvl w:val="0"/>
          <w:numId w:val="2"/>
        </w:numPr>
        <w:tabs>
          <w:tab w:val="clear" w:pos="720"/>
        </w:tabs>
        <w:jc w:val="both"/>
      </w:pPr>
      <w:r w:rsidRPr="009002F0">
        <w:t>the launch of formal analytical work on increasing regional aid intensity by</w:t>
      </w:r>
      <w:r w:rsidRPr="009002F0">
        <w:t> </w:t>
      </w:r>
      <w:r w:rsidRPr="009002F0">
        <w:t>15</w:t>
      </w:r>
      <w:r w:rsidRPr="009002F0">
        <w:t> </w:t>
      </w:r>
      <w:r w:rsidRPr="009002F0">
        <w:t>percentage points for the eastern border regions;</w:t>
      </w:r>
    </w:p>
    <w:p w14:paraId="09C92FEE" w14:textId="77777777" w:rsidR="00CB226D" w:rsidRPr="009002F0" w:rsidRDefault="00CB226D" w:rsidP="00CB226D">
      <w:pPr>
        <w:numPr>
          <w:ilvl w:val="0"/>
          <w:numId w:val="2"/>
        </w:numPr>
        <w:tabs>
          <w:tab w:val="clear" w:pos="720"/>
        </w:tabs>
        <w:jc w:val="both"/>
      </w:pPr>
      <w:r w:rsidRPr="009002F0">
        <w:t xml:space="preserve">the inclusion of this request in national and EU-level dialogue in connection with the 2026 </w:t>
      </w:r>
      <w:proofErr w:type="spellStart"/>
      <w:r w:rsidRPr="009002F0">
        <w:t>GBER</w:t>
      </w:r>
      <w:proofErr w:type="spellEnd"/>
      <w:r w:rsidRPr="009002F0">
        <w:t xml:space="preserve"> review;</w:t>
      </w:r>
    </w:p>
    <w:p w14:paraId="058D77C3" w14:textId="38D50953" w:rsidR="00A35D01" w:rsidRPr="009002F0" w:rsidRDefault="00CB226D" w:rsidP="00CB226D">
      <w:pPr>
        <w:numPr>
          <w:ilvl w:val="0"/>
          <w:numId w:val="2"/>
        </w:numPr>
        <w:tabs>
          <w:tab w:val="clear" w:pos="720"/>
          <w:tab w:val="num" w:pos="426"/>
        </w:tabs>
        <w:jc w:val="both"/>
      </w:pPr>
      <w:r w:rsidRPr="009002F0">
        <w:t>the restoration of simple investment projects reflecting the real needs of</w:t>
      </w:r>
      <w:r w:rsidRPr="009002F0">
        <w:t> </w:t>
      </w:r>
      <w:r w:rsidRPr="009002F0">
        <w:t>enterprises, farms and local and regional authorities.</w:t>
      </w:r>
    </w:p>
    <w:p w14:paraId="1F381E1A" w14:textId="77777777" w:rsidR="00A35D01" w:rsidRPr="009002F0" w:rsidRDefault="00A35D01" w:rsidP="00A35D01">
      <w:pPr>
        <w:jc w:val="both"/>
      </w:pPr>
    </w:p>
    <w:p w14:paraId="46E79001" w14:textId="12B1F46E" w:rsidR="00A35D01" w:rsidRPr="009002F0" w:rsidRDefault="009002F0" w:rsidP="00A35D01">
      <w:pPr>
        <w:jc w:val="right"/>
        <w:rPr>
          <w:i/>
          <w:iCs/>
        </w:rPr>
      </w:pPr>
      <w:r w:rsidRPr="009002F0">
        <w:rPr>
          <w:i/>
          <w:iCs/>
        </w:rPr>
        <w:t>Yours faithfully</w:t>
      </w:r>
    </w:p>
    <w:p w14:paraId="3C8C57EC" w14:textId="386DF1BF" w:rsidR="00A35D01" w:rsidRPr="009002F0" w:rsidRDefault="00A35D01" w:rsidP="00A35D01">
      <w:pPr>
        <w:jc w:val="right"/>
        <w:rPr>
          <w:i/>
          <w:iCs/>
          <w:highlight w:val="yellow"/>
        </w:rPr>
      </w:pPr>
      <w:r w:rsidRPr="009002F0">
        <w:rPr>
          <w:i/>
          <w:iCs/>
          <w:highlight w:val="yellow"/>
        </w:rPr>
        <w:t>[</w:t>
      </w:r>
      <w:r w:rsidR="009002F0" w:rsidRPr="009002F0">
        <w:rPr>
          <w:i/>
          <w:iCs/>
          <w:highlight w:val="yellow"/>
        </w:rPr>
        <w:t>Name and surname</w:t>
      </w:r>
      <w:r w:rsidRPr="009002F0">
        <w:rPr>
          <w:i/>
          <w:iCs/>
          <w:highlight w:val="yellow"/>
        </w:rPr>
        <w:t>]</w:t>
      </w:r>
    </w:p>
    <w:p w14:paraId="6F15BF3D" w14:textId="0819FEBC" w:rsidR="00A35D01" w:rsidRPr="009002F0" w:rsidRDefault="00A35D01" w:rsidP="00A35D01">
      <w:pPr>
        <w:jc w:val="right"/>
        <w:rPr>
          <w:i/>
          <w:iCs/>
          <w:highlight w:val="yellow"/>
        </w:rPr>
      </w:pPr>
      <w:r w:rsidRPr="009002F0">
        <w:rPr>
          <w:i/>
          <w:iCs/>
          <w:highlight w:val="yellow"/>
        </w:rPr>
        <w:t>[</w:t>
      </w:r>
      <w:r w:rsidR="009002F0" w:rsidRPr="009002F0">
        <w:rPr>
          <w:i/>
          <w:iCs/>
          <w:highlight w:val="yellow"/>
        </w:rPr>
        <w:t>Position</w:t>
      </w:r>
      <w:r w:rsidRPr="009002F0">
        <w:rPr>
          <w:i/>
          <w:iCs/>
          <w:highlight w:val="yellow"/>
        </w:rPr>
        <w:t>]</w:t>
      </w:r>
    </w:p>
    <w:p w14:paraId="30568471" w14:textId="52279FFD" w:rsidR="00A35D01" w:rsidRPr="009002F0" w:rsidRDefault="00A35D01" w:rsidP="00A35D01">
      <w:pPr>
        <w:jc w:val="right"/>
        <w:rPr>
          <w:i/>
          <w:iCs/>
        </w:rPr>
      </w:pPr>
      <w:r w:rsidRPr="009002F0">
        <w:rPr>
          <w:i/>
          <w:iCs/>
          <w:highlight w:val="yellow"/>
        </w:rPr>
        <w:t>[</w:t>
      </w:r>
      <w:r w:rsidR="009002F0" w:rsidRPr="009002F0">
        <w:rPr>
          <w:i/>
          <w:iCs/>
          <w:highlight w:val="yellow"/>
        </w:rPr>
        <w:t>Name of organisation</w:t>
      </w:r>
      <w:r w:rsidRPr="009002F0">
        <w:rPr>
          <w:i/>
          <w:iCs/>
          <w:highlight w:val="yellow"/>
        </w:rPr>
        <w:t>]</w:t>
      </w:r>
    </w:p>
    <w:p w14:paraId="4BC652E1" w14:textId="317AF73B" w:rsidR="00B82B42" w:rsidRPr="009002F0" w:rsidRDefault="00B82B42">
      <w:pPr>
        <w:rPr>
          <w:lang w:val="en-US"/>
        </w:rPr>
      </w:pPr>
    </w:p>
    <w:sectPr w:rsidR="00B82B42" w:rsidRPr="009002F0" w:rsidSect="00A35D01">
      <w:footerReference w:type="default" r:id="rId7"/>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0923" w14:textId="77777777" w:rsidR="00143368" w:rsidRPr="009002F0" w:rsidRDefault="00143368" w:rsidP="00D87AC4">
      <w:pPr>
        <w:spacing w:after="0" w:line="240" w:lineRule="auto"/>
      </w:pPr>
      <w:r w:rsidRPr="009002F0">
        <w:separator/>
      </w:r>
    </w:p>
  </w:endnote>
  <w:endnote w:type="continuationSeparator" w:id="0">
    <w:p w14:paraId="5948A606" w14:textId="77777777" w:rsidR="00143368" w:rsidRPr="009002F0" w:rsidRDefault="00143368" w:rsidP="00D87AC4">
      <w:pPr>
        <w:spacing w:after="0" w:line="240" w:lineRule="auto"/>
      </w:pPr>
      <w:r w:rsidRPr="009002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51303"/>
      <w:docPartObj>
        <w:docPartGallery w:val="Page Numbers (Bottom of Page)"/>
        <w:docPartUnique/>
      </w:docPartObj>
    </w:sdtPr>
    <w:sdtContent>
      <w:sdt>
        <w:sdtPr>
          <w:id w:val="-1769616900"/>
          <w:docPartObj>
            <w:docPartGallery w:val="Page Numbers (Top of Page)"/>
            <w:docPartUnique/>
          </w:docPartObj>
        </w:sdtPr>
        <w:sdtContent>
          <w:p w14:paraId="0223B181" w14:textId="7F8A607E" w:rsidR="00A35D01" w:rsidRPr="009002F0" w:rsidRDefault="00D87AC4" w:rsidP="00D34EFF">
            <w:pPr>
              <w:pStyle w:val="Stopka"/>
              <w:jc w:val="right"/>
            </w:pPr>
            <w:r w:rsidRPr="009002F0">
              <w:t>page</w:t>
            </w:r>
            <w:r w:rsidR="00A35D01" w:rsidRPr="009002F0">
              <w:t xml:space="preserve"> </w:t>
            </w:r>
            <w:r w:rsidR="00A35D01" w:rsidRPr="009002F0">
              <w:rPr>
                <w:b/>
                <w:bCs/>
              </w:rPr>
              <w:fldChar w:fldCharType="begin"/>
            </w:r>
            <w:r w:rsidR="00A35D01" w:rsidRPr="009002F0">
              <w:rPr>
                <w:b/>
                <w:bCs/>
              </w:rPr>
              <w:instrText>PAGE</w:instrText>
            </w:r>
            <w:r w:rsidR="00A35D01" w:rsidRPr="009002F0">
              <w:rPr>
                <w:b/>
                <w:bCs/>
              </w:rPr>
              <w:fldChar w:fldCharType="separate"/>
            </w:r>
            <w:r w:rsidR="00A35D01" w:rsidRPr="009002F0">
              <w:rPr>
                <w:b/>
                <w:bCs/>
              </w:rPr>
              <w:t>2</w:t>
            </w:r>
            <w:r w:rsidR="00A35D01" w:rsidRPr="009002F0">
              <w:rPr>
                <w:b/>
                <w:bCs/>
              </w:rPr>
              <w:fldChar w:fldCharType="end"/>
            </w:r>
            <w:r w:rsidR="00A35D01" w:rsidRPr="009002F0">
              <w:t xml:space="preserve"> </w:t>
            </w:r>
            <w:r w:rsidR="00CB226D" w:rsidRPr="009002F0">
              <w:t>of</w:t>
            </w:r>
            <w:r w:rsidR="00A35D01" w:rsidRPr="009002F0">
              <w:t xml:space="preserve"> </w:t>
            </w:r>
            <w:r w:rsidR="00A35D01" w:rsidRPr="009002F0">
              <w:fldChar w:fldCharType="begin"/>
            </w:r>
            <w:r w:rsidR="00A35D01" w:rsidRPr="009002F0">
              <w:instrText>NUMPAGES</w:instrText>
            </w:r>
            <w:r w:rsidR="00A35D01" w:rsidRPr="009002F0">
              <w:fldChar w:fldCharType="separate"/>
            </w:r>
            <w:r w:rsidR="00A35D01" w:rsidRPr="009002F0">
              <w:t>2</w:t>
            </w:r>
            <w:r w:rsidR="00A35D01" w:rsidRPr="009002F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DFB7" w14:textId="77777777" w:rsidR="00143368" w:rsidRPr="009002F0" w:rsidRDefault="00143368" w:rsidP="00D87AC4">
      <w:pPr>
        <w:spacing w:after="0" w:line="240" w:lineRule="auto"/>
      </w:pPr>
      <w:r w:rsidRPr="009002F0">
        <w:separator/>
      </w:r>
    </w:p>
  </w:footnote>
  <w:footnote w:type="continuationSeparator" w:id="0">
    <w:p w14:paraId="2784983E" w14:textId="77777777" w:rsidR="00143368" w:rsidRPr="009002F0" w:rsidRDefault="00143368" w:rsidP="00D87AC4">
      <w:pPr>
        <w:spacing w:after="0" w:line="240" w:lineRule="auto"/>
      </w:pPr>
      <w:r w:rsidRPr="009002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B0C"/>
    <w:multiLevelType w:val="hybridMultilevel"/>
    <w:tmpl w:val="11C28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4F0C85"/>
    <w:multiLevelType w:val="multilevel"/>
    <w:tmpl w:val="D60C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3522B"/>
    <w:multiLevelType w:val="multilevel"/>
    <w:tmpl w:val="E5908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201314">
    <w:abstractNumId w:val="2"/>
  </w:num>
  <w:num w:numId="2" w16cid:durableId="1797603167">
    <w:abstractNumId w:val="1"/>
  </w:num>
  <w:num w:numId="3" w16cid:durableId="37886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01"/>
    <w:rsid w:val="00041D5C"/>
    <w:rsid w:val="00083EA7"/>
    <w:rsid w:val="00105E58"/>
    <w:rsid w:val="00114B9E"/>
    <w:rsid w:val="00143368"/>
    <w:rsid w:val="00164A82"/>
    <w:rsid w:val="002802AD"/>
    <w:rsid w:val="00284EA6"/>
    <w:rsid w:val="003D5AF0"/>
    <w:rsid w:val="00465378"/>
    <w:rsid w:val="005A6EC9"/>
    <w:rsid w:val="005E7BC3"/>
    <w:rsid w:val="0066206A"/>
    <w:rsid w:val="00865CE2"/>
    <w:rsid w:val="009002F0"/>
    <w:rsid w:val="009C3AEF"/>
    <w:rsid w:val="00A35D01"/>
    <w:rsid w:val="00A56D1D"/>
    <w:rsid w:val="00B82B42"/>
    <w:rsid w:val="00C23B64"/>
    <w:rsid w:val="00C450A1"/>
    <w:rsid w:val="00C538AA"/>
    <w:rsid w:val="00CB226D"/>
    <w:rsid w:val="00CC40AE"/>
    <w:rsid w:val="00D11A19"/>
    <w:rsid w:val="00D87AC4"/>
    <w:rsid w:val="00E60F56"/>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CBBD"/>
  <w15:chartTrackingRefBased/>
  <w15:docId w15:val="{BF197A98-FCFF-421B-AA48-043BAE71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5D01"/>
    <w:rPr>
      <w:lang w:val="en-GB"/>
    </w:rPr>
  </w:style>
  <w:style w:type="paragraph" w:styleId="Nagwek1">
    <w:name w:val="heading 1"/>
    <w:basedOn w:val="Normalny"/>
    <w:next w:val="Normalny"/>
    <w:link w:val="Nagwek1Znak"/>
    <w:uiPriority w:val="9"/>
    <w:qFormat/>
    <w:rsid w:val="00A35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35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35D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35D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35D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35D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5D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5D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5D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qFormat/>
    <w:rsid w:val="00105E58"/>
    <w:rPr>
      <w:rFonts w:ascii="DejaVu Sans Condensed" w:eastAsia="DejaVu Sans Condensed" w:hAnsi="DejaVu Sans Condensed" w:cs="DejaVu Sans Condensed"/>
      <w:color w:val="467886" w:themeColor="hyperlink"/>
      <w:sz w:val="22"/>
      <w:u w:val="single"/>
    </w:rPr>
  </w:style>
  <w:style w:type="character" w:customStyle="1" w:styleId="Nagwek1Znak">
    <w:name w:val="Nagłówek 1 Znak"/>
    <w:basedOn w:val="Domylnaczcionkaakapitu"/>
    <w:link w:val="Nagwek1"/>
    <w:uiPriority w:val="9"/>
    <w:rsid w:val="00A35D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35D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35D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35D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35D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35D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35D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35D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35D01"/>
    <w:rPr>
      <w:rFonts w:eastAsiaTheme="majorEastAsia" w:cstheme="majorBidi"/>
      <w:color w:val="272727" w:themeColor="text1" w:themeTint="D8"/>
    </w:rPr>
  </w:style>
  <w:style w:type="paragraph" w:styleId="Tytu">
    <w:name w:val="Title"/>
    <w:basedOn w:val="Normalny"/>
    <w:next w:val="Normalny"/>
    <w:link w:val="TytuZnak"/>
    <w:uiPriority w:val="10"/>
    <w:qFormat/>
    <w:rsid w:val="00A35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35D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35D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35D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35D01"/>
    <w:pPr>
      <w:spacing w:before="160"/>
      <w:jc w:val="center"/>
    </w:pPr>
    <w:rPr>
      <w:i/>
      <w:iCs/>
      <w:color w:val="404040" w:themeColor="text1" w:themeTint="BF"/>
    </w:rPr>
  </w:style>
  <w:style w:type="character" w:customStyle="1" w:styleId="CytatZnak">
    <w:name w:val="Cytat Znak"/>
    <w:basedOn w:val="Domylnaczcionkaakapitu"/>
    <w:link w:val="Cytat"/>
    <w:uiPriority w:val="29"/>
    <w:rsid w:val="00A35D01"/>
    <w:rPr>
      <w:i/>
      <w:iCs/>
      <w:color w:val="404040" w:themeColor="text1" w:themeTint="BF"/>
    </w:rPr>
  </w:style>
  <w:style w:type="paragraph" w:styleId="Akapitzlist">
    <w:name w:val="List Paragraph"/>
    <w:basedOn w:val="Normalny"/>
    <w:uiPriority w:val="34"/>
    <w:qFormat/>
    <w:rsid w:val="00A35D01"/>
    <w:pPr>
      <w:ind w:left="720"/>
      <w:contextualSpacing/>
    </w:pPr>
  </w:style>
  <w:style w:type="character" w:styleId="Wyrnienieintensywne">
    <w:name w:val="Intense Emphasis"/>
    <w:basedOn w:val="Domylnaczcionkaakapitu"/>
    <w:uiPriority w:val="21"/>
    <w:qFormat/>
    <w:rsid w:val="00A35D01"/>
    <w:rPr>
      <w:i/>
      <w:iCs/>
      <w:color w:val="0F4761" w:themeColor="accent1" w:themeShade="BF"/>
    </w:rPr>
  </w:style>
  <w:style w:type="paragraph" w:styleId="Cytatintensywny">
    <w:name w:val="Intense Quote"/>
    <w:basedOn w:val="Normalny"/>
    <w:next w:val="Normalny"/>
    <w:link w:val="CytatintensywnyZnak"/>
    <w:uiPriority w:val="30"/>
    <w:qFormat/>
    <w:rsid w:val="00A35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35D01"/>
    <w:rPr>
      <w:i/>
      <w:iCs/>
      <w:color w:val="0F4761" w:themeColor="accent1" w:themeShade="BF"/>
    </w:rPr>
  </w:style>
  <w:style w:type="character" w:styleId="Odwoanieintensywne">
    <w:name w:val="Intense Reference"/>
    <w:basedOn w:val="Domylnaczcionkaakapitu"/>
    <w:uiPriority w:val="32"/>
    <w:qFormat/>
    <w:rsid w:val="00A35D01"/>
    <w:rPr>
      <w:b/>
      <w:bCs/>
      <w:smallCaps/>
      <w:color w:val="0F4761" w:themeColor="accent1" w:themeShade="BF"/>
      <w:spacing w:val="5"/>
    </w:rPr>
  </w:style>
  <w:style w:type="paragraph" w:styleId="Stopka">
    <w:name w:val="footer"/>
    <w:basedOn w:val="Normalny"/>
    <w:link w:val="StopkaZnak"/>
    <w:uiPriority w:val="99"/>
    <w:unhideWhenUsed/>
    <w:rsid w:val="00A35D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5D01"/>
  </w:style>
  <w:style w:type="paragraph" w:styleId="Nagwek">
    <w:name w:val="header"/>
    <w:basedOn w:val="Normalny"/>
    <w:link w:val="NagwekZnak"/>
    <w:uiPriority w:val="99"/>
    <w:unhideWhenUsed/>
    <w:rsid w:val="00D87A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7AC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853</Words>
  <Characters>5124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Stec</dc:creator>
  <cp:keywords/>
  <dc:description/>
  <cp:lastModifiedBy>Piotr Stec - Badania.pro</cp:lastModifiedBy>
  <cp:revision>1</cp:revision>
  <dcterms:created xsi:type="dcterms:W3CDTF">2026-03-25T14:10:00Z</dcterms:created>
  <dcterms:modified xsi:type="dcterms:W3CDTF">2026-03-25T15:55:00Z</dcterms:modified>
</cp:coreProperties>
</file>